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D57" w:rsidRPr="0003111D" w:rsidRDefault="00875D57" w:rsidP="00875D57">
      <w:pPr>
        <w:pStyle w:val="Ch61"/>
        <w:spacing w:before="120"/>
        <w:ind w:left="4706"/>
        <w:rPr>
          <w:rFonts w:ascii="Times New Roman" w:hAnsi="Times New Roman" w:cs="Times New Roman"/>
          <w:w w:val="100"/>
          <w:sz w:val="18"/>
          <w:szCs w:val="18"/>
        </w:rPr>
      </w:pPr>
      <w:bookmarkStart w:id="0" w:name="_GoBack"/>
      <w:bookmarkEnd w:id="0"/>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875D57" w:rsidRDefault="00875D57" w:rsidP="00875D57">
      <w:pPr>
        <w:pStyle w:val="Ch60"/>
        <w:rPr>
          <w:rFonts w:ascii="Times New Roman" w:hAnsi="Times New Roman" w:cs="Times New Roman"/>
          <w:w w:val="100"/>
          <w:sz w:val="28"/>
          <w:szCs w:val="28"/>
        </w:rPr>
      </w:pPr>
    </w:p>
    <w:p w:rsidR="00875D57" w:rsidRPr="00CB6D7D" w:rsidRDefault="00875D57" w:rsidP="00875D57">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875D57" w:rsidRPr="0003111D" w:rsidTr="00073F6D">
        <w:trPr>
          <w:trHeight w:val="60"/>
        </w:trPr>
        <w:tc>
          <w:tcPr>
            <w:tcW w:w="2063" w:type="pct"/>
            <w:shd w:val="clear" w:color="auto" w:fill="auto"/>
          </w:tcPr>
          <w:p w:rsidR="00875D57" w:rsidRPr="00396C22" w:rsidRDefault="00875D57" w:rsidP="00073F6D">
            <w:pPr>
              <w:pStyle w:val="Ch6"/>
              <w:suppressAutoHyphens/>
              <w:ind w:firstLine="0"/>
              <w:jc w:val="center"/>
              <w:rPr>
                <w:rFonts w:ascii="Times New Roman" w:hAnsi="Times New Roman" w:cs="Times New Roman"/>
                <w:w w:val="100"/>
                <w:sz w:val="24"/>
                <w:szCs w:val="24"/>
              </w:rPr>
            </w:pPr>
            <w:r>
              <w:rPr>
                <w:rFonts w:ascii="Times New Roman" w:hAnsi="Times New Roman" w:cs="Times New Roman"/>
                <w:w w:val="100"/>
                <w:sz w:val="24"/>
                <w:szCs w:val="24"/>
                <w:u w:val="single"/>
                <w:lang w:val="en-US"/>
              </w:rPr>
              <w:t>27.10.2025</w:t>
            </w:r>
          </w:p>
          <w:p w:rsidR="00875D57" w:rsidRPr="0003111D" w:rsidRDefault="00875D57" w:rsidP="00073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875D57" w:rsidRPr="0003111D" w:rsidRDefault="00875D57" w:rsidP="00073F6D">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Pr>
                <w:rFonts w:ascii="Times New Roman" w:hAnsi="Times New Roman" w:cs="Times New Roman"/>
                <w:w w:val="100"/>
                <w:sz w:val="24"/>
                <w:szCs w:val="24"/>
                <w:u w:val="single"/>
                <w:lang w:val="en-US"/>
              </w:rPr>
              <w:t>1</w:t>
            </w:r>
          </w:p>
          <w:p w:rsidR="00875D57" w:rsidRPr="0003111D" w:rsidRDefault="00875D57" w:rsidP="00073F6D">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875D57" w:rsidRPr="0003111D" w:rsidRDefault="00875D57" w:rsidP="00073F6D">
            <w:pPr>
              <w:pStyle w:val="TableTABL"/>
              <w:rPr>
                <w:rFonts w:ascii="Times New Roman" w:hAnsi="Times New Roman" w:cs="Times New Roman"/>
                <w:spacing w:val="0"/>
                <w:sz w:val="24"/>
                <w:szCs w:val="24"/>
              </w:rPr>
            </w:pPr>
          </w:p>
        </w:tc>
      </w:tr>
    </w:tbl>
    <w:p w:rsidR="00875D57" w:rsidRPr="00FE0630" w:rsidRDefault="00875D57" w:rsidP="00875D57">
      <w:pPr>
        <w:pStyle w:val="Ch6"/>
        <w:suppressAutoHyphens/>
        <w:rPr>
          <w:rFonts w:ascii="Times New Roman" w:hAnsi="Times New Roman" w:cs="Times New Roman"/>
          <w:w w:val="100"/>
          <w:sz w:val="24"/>
          <w:szCs w:val="24"/>
        </w:rPr>
      </w:pPr>
    </w:p>
    <w:p w:rsidR="00875D57" w:rsidRDefault="00875D57" w:rsidP="00875D57">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875D57" w:rsidRPr="00FE0630" w:rsidRDefault="00875D57" w:rsidP="00875D57">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875D57" w:rsidRPr="0003111D" w:rsidTr="00073F6D">
        <w:trPr>
          <w:trHeight w:val="60"/>
        </w:trPr>
        <w:tc>
          <w:tcPr>
            <w:tcW w:w="1667" w:type="pct"/>
            <w:shd w:val="clear" w:color="auto" w:fill="auto"/>
          </w:tcPr>
          <w:p w:rsidR="00875D57" w:rsidRPr="001F1832" w:rsidRDefault="00875D57" w:rsidP="00073F6D">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875D57" w:rsidRPr="0003111D" w:rsidRDefault="00875D57" w:rsidP="00073F6D">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875D57" w:rsidRPr="0003111D" w:rsidRDefault="00875D57" w:rsidP="00073F6D">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875D57" w:rsidRPr="00396C22" w:rsidRDefault="00875D57" w:rsidP="00073F6D">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875D57" w:rsidRPr="00BE42D0" w:rsidRDefault="00875D57" w:rsidP="00073F6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Мороз Олександр Тимофійович</w:t>
            </w:r>
            <w:r w:rsidRPr="00BE42D0">
              <w:rPr>
                <w:rFonts w:ascii="Times New Roman" w:hAnsi="Times New Roman" w:cs="Times New Roman"/>
                <w:w w:val="100"/>
                <w:sz w:val="24"/>
                <w:szCs w:val="24"/>
                <w:u w:val="single"/>
              </w:rPr>
              <w:t xml:space="preserve"> </w:t>
            </w:r>
          </w:p>
          <w:p w:rsidR="00875D57" w:rsidRPr="0003111D" w:rsidRDefault="00875D57" w:rsidP="00073F6D">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875D57" w:rsidRDefault="00875D57" w:rsidP="00875D57">
      <w:pPr>
        <w:pStyle w:val="Ch60"/>
        <w:rPr>
          <w:rFonts w:ascii="Times New Roman" w:hAnsi="Times New Roman" w:cs="Times New Roman"/>
          <w:w w:val="100"/>
          <w:sz w:val="24"/>
          <w:szCs w:val="24"/>
        </w:rPr>
      </w:pPr>
    </w:p>
    <w:p w:rsidR="00875D57" w:rsidRDefault="00875D57" w:rsidP="00875D57">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Pr>
          <w:rFonts w:ascii="Times New Roman" w:hAnsi="Times New Roman" w:cs="Times New Roman"/>
          <w:w w:val="100"/>
          <w:sz w:val="24"/>
          <w:szCs w:val="24"/>
          <w:lang w:val="en-US"/>
        </w:rPr>
        <w:t>ТОВАРИСТВО З ОБМЕЖЕНОЮ ВІДПОВІДАЛЬНІСТЮ "ФІНАНСОВА КОМПАНІЯ "А-ФІНАНС" ( ідентифікаційний код : 43064717 )</w:t>
      </w:r>
      <w:r w:rsidRPr="00FE0630">
        <w:rPr>
          <w:rFonts w:ascii="Times New Roman" w:hAnsi="Times New Roman" w:cs="Times New Roman"/>
          <w:w w:val="100"/>
          <w:sz w:val="24"/>
          <w:szCs w:val="24"/>
        </w:rPr>
        <w:t xml:space="preserve"> за </w:t>
      </w:r>
      <w:r>
        <w:rPr>
          <w:rFonts w:ascii="Times New Roman" w:hAnsi="Times New Roman" w:cs="Times New Roman"/>
          <w:bCs w:val="0"/>
          <w:w w:val="100"/>
          <w:sz w:val="24"/>
          <w:szCs w:val="24"/>
          <w:lang w:val="en-US"/>
        </w:rPr>
        <w:t>2024</w:t>
      </w:r>
      <w:r w:rsidRPr="00FE0630">
        <w:rPr>
          <w:rFonts w:ascii="Times New Roman" w:hAnsi="Times New Roman" w:cs="Times New Roman"/>
          <w:w w:val="100"/>
          <w:sz w:val="24"/>
          <w:szCs w:val="24"/>
        </w:rPr>
        <w:t xml:space="preserve"> рік</w:t>
      </w:r>
    </w:p>
    <w:p w:rsidR="00875D57" w:rsidRPr="00FE0630" w:rsidRDefault="00875D57" w:rsidP="00875D57">
      <w:pPr>
        <w:pStyle w:val="Ch60"/>
        <w:rPr>
          <w:rFonts w:ascii="Times New Roman" w:hAnsi="Times New Roman" w:cs="Times New Roman"/>
          <w:w w:val="100"/>
          <w:sz w:val="24"/>
          <w:szCs w:val="24"/>
        </w:rPr>
      </w:pPr>
    </w:p>
    <w:p w:rsidR="00875D57" w:rsidRPr="00FE0630" w:rsidRDefault="00875D57" w:rsidP="00875D57">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Pr>
          <w:rFonts w:ascii="Times New Roman" w:hAnsi="Times New Roman" w:cs="Times New Roman"/>
          <w:w w:val="100"/>
          <w:sz w:val="24"/>
          <w:szCs w:val="24"/>
          <w:lang w:val="en-US"/>
        </w:rPr>
        <w:t xml:space="preserve"> </w:t>
      </w:r>
      <w:r>
        <w:rPr>
          <w:rFonts w:ascii="Times New Roman" w:hAnsi="Times New Roman" w:cs="Times New Roman"/>
          <w:w w:val="100"/>
          <w:sz w:val="24"/>
          <w:szCs w:val="24"/>
        </w:rPr>
        <w:t>:</w:t>
      </w:r>
      <w:r w:rsidRPr="0003111D">
        <w:rPr>
          <w:sz w:val="20"/>
          <w:szCs w:val="20"/>
          <w:lang w:val="ru-RU"/>
        </w:rPr>
        <w:t xml:space="preserve"> </w:t>
      </w:r>
      <w:r>
        <w:rPr>
          <w:rFonts w:ascii="Times New Roman" w:hAnsi="Times New Roman" w:cs="Times New Roman"/>
          <w:w w:val="100"/>
          <w:sz w:val="24"/>
          <w:szCs w:val="24"/>
          <w:lang w:val="en-US"/>
        </w:rPr>
        <w:t>Рішення єдиного учасника Товариства №27/08/25 від 27.08.2025р.</w:t>
      </w:r>
    </w:p>
    <w:p w:rsidR="00875D57" w:rsidRDefault="00875D57" w:rsidP="00875D57">
      <w:pPr>
        <w:pStyle w:val="Ch62"/>
        <w:suppressAutoHyphens/>
        <w:rPr>
          <w:rFonts w:ascii="Times New Roman" w:hAnsi="Times New Roman" w:cs="Times New Roman"/>
          <w:b/>
          <w:bCs/>
          <w:w w:val="100"/>
          <w:sz w:val="24"/>
          <w:szCs w:val="24"/>
        </w:rPr>
      </w:pPr>
    </w:p>
    <w:p w:rsidR="00875D57" w:rsidRDefault="00875D57" w:rsidP="00875D5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875D57" w:rsidRDefault="00875D57" w:rsidP="00875D57">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875D57" w:rsidRDefault="00875D57" w:rsidP="00875D57">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875D57" w:rsidRDefault="00875D57" w:rsidP="00875D57">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875D57" w:rsidRDefault="00875D57" w:rsidP="00875D57">
      <w:pPr>
        <w:pStyle w:val="Ch62"/>
        <w:suppressAutoHyphens/>
        <w:rPr>
          <w:rFonts w:ascii="Times New Roman" w:hAnsi="Times New Roman" w:cs="Times New Roman"/>
          <w:w w:val="100"/>
          <w:sz w:val="24"/>
          <w:szCs w:val="24"/>
          <w:lang w:val="en-US"/>
        </w:rPr>
      </w:pPr>
      <w:r>
        <w:rPr>
          <w:rFonts w:ascii="Times New Roman" w:hAnsi="Times New Roman" w:cs="Times New Roman"/>
          <w:w w:val="100"/>
          <w:sz w:val="24"/>
          <w:szCs w:val="24"/>
          <w:lang w:val="en-US"/>
        </w:rPr>
        <w:t>Номер свідоцтва : DR/00001/APA</w:t>
      </w:r>
    </w:p>
    <w:p w:rsidR="00875D57" w:rsidRDefault="00875D57" w:rsidP="00875D57">
      <w:pPr>
        <w:pStyle w:val="Ch62"/>
        <w:suppressAutoHyphens/>
        <w:rPr>
          <w:rFonts w:ascii="Times New Roman" w:hAnsi="Times New Roman" w:cs="Times New Roman"/>
          <w:b/>
          <w:bCs/>
          <w:w w:val="100"/>
          <w:sz w:val="24"/>
          <w:szCs w:val="24"/>
        </w:rPr>
      </w:pPr>
    </w:p>
    <w:p w:rsidR="00875D57" w:rsidRPr="00FE1ECB" w:rsidRDefault="00875D57" w:rsidP="00875D57">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875D57" w:rsidRDefault="00875D57" w:rsidP="00875D5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Державна установа "Агентство з розвитку інфраструктури фондового ринку України"</w:t>
      </w:r>
    </w:p>
    <w:p w:rsidR="00875D57" w:rsidRDefault="00875D57" w:rsidP="00875D5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Ідентифікаційний код юридичної особи : 21676262</w:t>
      </w:r>
    </w:p>
    <w:p w:rsidR="00875D57" w:rsidRDefault="00875D57" w:rsidP="00875D57">
      <w:pPr>
        <w:pStyle w:val="Ch6"/>
        <w:suppressAutoHyphens/>
        <w:ind w:firstLine="0"/>
        <w:rPr>
          <w:rFonts w:ascii="Times New Roman" w:hAnsi="Times New Roman" w:cs="Times New Roman"/>
          <w:w w:val="100"/>
          <w:sz w:val="24"/>
          <w:szCs w:val="24"/>
          <w:lang w:val="en-US"/>
        </w:rPr>
      </w:pPr>
      <w:r>
        <w:rPr>
          <w:rFonts w:ascii="Times New Roman" w:hAnsi="Times New Roman" w:cs="Times New Roman"/>
          <w:w w:val="100"/>
          <w:sz w:val="24"/>
          <w:szCs w:val="24"/>
          <w:lang w:val="en-US"/>
        </w:rPr>
        <w:t>Країна реєстрації : Україна</w:t>
      </w:r>
    </w:p>
    <w:p w:rsidR="00875D57" w:rsidRDefault="00875D57" w:rsidP="00875D57">
      <w:pPr>
        <w:pStyle w:val="Ch6"/>
        <w:suppressAutoHyphens/>
        <w:ind w:firstLine="0"/>
        <w:rPr>
          <w:rFonts w:ascii="Times New Roman" w:hAnsi="Times New Roman" w:cs="Times New Roman"/>
          <w:w w:val="100"/>
          <w:sz w:val="24"/>
          <w:szCs w:val="24"/>
        </w:rPr>
      </w:pPr>
      <w:r>
        <w:rPr>
          <w:rFonts w:ascii="Times New Roman" w:hAnsi="Times New Roman" w:cs="Times New Roman"/>
          <w:w w:val="100"/>
          <w:sz w:val="24"/>
          <w:szCs w:val="24"/>
          <w:lang w:val="en-US"/>
        </w:rPr>
        <w:t>Номер свідоцтва : DR/00002/ARM</w:t>
      </w:r>
    </w:p>
    <w:p w:rsidR="00875D57" w:rsidRPr="00AA45E4" w:rsidRDefault="00875D57" w:rsidP="00875D57">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875D57" w:rsidRPr="00FE0630" w:rsidRDefault="00875D57" w:rsidP="00875D57">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875D57" w:rsidRPr="0003111D" w:rsidTr="00073F6D">
        <w:trPr>
          <w:trHeight w:val="60"/>
        </w:trPr>
        <w:tc>
          <w:tcPr>
            <w:tcW w:w="1736" w:type="pct"/>
            <w:shd w:val="clear" w:color="auto" w:fill="auto"/>
          </w:tcPr>
          <w:p w:rsidR="00875D57" w:rsidRPr="0003111D" w:rsidRDefault="00875D57" w:rsidP="00073F6D">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875D57" w:rsidRPr="00BE42D0" w:rsidRDefault="00875D57" w:rsidP="00073F6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https://a-finance.in.ua/publichna-</w:t>
            </w:r>
            <w:r>
              <w:rPr>
                <w:rFonts w:ascii="Times New Roman" w:hAnsi="Times New Roman" w:cs="Times New Roman"/>
                <w:w w:val="100"/>
                <w:sz w:val="24"/>
                <w:szCs w:val="24"/>
                <w:u w:val="single"/>
                <w:lang w:val="en-US"/>
              </w:rPr>
              <w:lastRenderedPageBreak/>
              <w:t>informatsiia/</w:t>
            </w:r>
            <w:r w:rsidRPr="00BE42D0">
              <w:rPr>
                <w:rFonts w:ascii="Times New Roman" w:hAnsi="Times New Roman" w:cs="Times New Roman"/>
                <w:w w:val="100"/>
                <w:sz w:val="24"/>
                <w:szCs w:val="24"/>
                <w:u w:val="single"/>
              </w:rPr>
              <w:t xml:space="preserve"> </w:t>
            </w:r>
          </w:p>
          <w:p w:rsidR="00875D57" w:rsidRPr="0003111D" w:rsidRDefault="00875D57" w:rsidP="00073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875D57" w:rsidRPr="00BE42D0" w:rsidRDefault="00875D57" w:rsidP="00073F6D">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lastRenderedPageBreak/>
              <w:t>27.10.2025</w:t>
            </w:r>
            <w:r w:rsidRPr="00BE42D0">
              <w:rPr>
                <w:rFonts w:ascii="Times New Roman" w:hAnsi="Times New Roman" w:cs="Times New Roman"/>
                <w:w w:val="100"/>
                <w:sz w:val="24"/>
                <w:szCs w:val="24"/>
                <w:u w:val="single"/>
              </w:rPr>
              <w:t xml:space="preserve"> </w:t>
            </w:r>
          </w:p>
          <w:p w:rsidR="00875D57" w:rsidRPr="0003111D" w:rsidRDefault="00875D57" w:rsidP="00073F6D">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875D57" w:rsidRDefault="00875D57" w:rsidP="00875D57">
      <w:pPr>
        <w:sectPr w:rsidR="00875D57" w:rsidSect="0003111D">
          <w:headerReference w:type="even" r:id="rId6"/>
          <w:headerReference w:type="default" r:id="rId7"/>
          <w:footerReference w:type="even" r:id="rId8"/>
          <w:footerReference w:type="default" r:id="rId9"/>
          <w:headerReference w:type="first" r:id="rId10"/>
          <w:footerReference w:type="first" r:id="rId11"/>
          <w:pgSz w:w="11906" w:h="16838"/>
          <w:pgMar w:top="340" w:right="567" w:bottom="340" w:left="1418" w:header="709" w:footer="709" w:gutter="0"/>
          <w:cols w:space="708"/>
          <w:docGrid w:linePitch="360"/>
        </w:sectPr>
      </w:pPr>
    </w:p>
    <w:p w:rsidR="00875D57" w:rsidRDefault="00875D57" w:rsidP="00875D57"/>
    <w:p w:rsidR="00875D57" w:rsidRPr="00875D57" w:rsidRDefault="00875D57" w:rsidP="00875D57">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875D57">
        <w:rPr>
          <w:rFonts w:ascii="Times New Roman" w:hAnsi="Times New Roman"/>
          <w:b/>
          <w:bCs/>
          <w:color w:val="000000"/>
          <w:sz w:val="24"/>
          <w:szCs w:val="24"/>
        </w:rPr>
        <w:t>Пояснення щодо розкриття інформації</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"Вiдомостi про участь в iнших юридичних особах" (глава 5 розділу І Річного звіту); "Інформація про структуру капіталу, із зазначенням типів і класів акцій, а також прав та обов'язків акціонерів (учасників)" (глава 1 розділу ІІ Річного звіту); "Інформація про наявність у власності працівників особи цінних паперів (крім акцій) такої особи" (складова глави 3 розділу ІІ Річного звіту); "Iнформація про загальну кількість голосуючих акцій та кількість голосуючих акцій, право голосу за якими обмежено, а також кількість голосуючих акцій, право голосу за якими за результатами обмеження такого права передано іншій особі" (складова глави 3 розділу ІІ Річного звіту); "Інформація про будь-які обмеження щодо обігу цінних паперів особи, у тому числі необхідність отримання від особи або інших власників цінних паперів згоди на відчуження таких цінних паперів" (складова глави 3 розділу ІІ Річного звіту), "Інформація про осіб, що володіють 5 і більше відсотками акцій особи" (складова глави 2 розділу ІІ Річного звіту), "Інформація про зміну акціонерів, яким належать голосуючі акції, розмір пакета яких стає більшим, меншим або дорівнює пороговому значенню пакета акцій" (складова глави 2 розділу ІІ Річного звіту), "Інформація про зміну осіб, яким належить право голосу за акціями, сумарна кількість прав за якими стає більшою, меншою або дорівнює пороговому значенню пакета акцій" (складова глави 2 розділу ІІ Річного звіту),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 (складова глави 2 розділу ІІ Річного звіту); "Твердження щодо річної інформації" (глава 4 розділу ІІІ Річного звіту); "Інформація про вчинення значних правочинів" (складова глави 5 розділу ІІІ Річного звіту); "Інформація про вчинення правочинів щодо яких є заінтересованість, про осіб, заінтересованих у вчиненні емітентом правочинів із заінтересованістю, та обставини, існування яких створює заінтересованість" (складова глави 5 розділу ІІІ Річного звіту); "Звіт про платежі на користь держави" (глава 6 розділу ІІІ Річного звіту); "Звіт керівництва (звіт про управління) " (глава 1 розділу ІV Річного звіту); "Наявна в емітента інформація про корпоративні договори, укладені акціонерами (учасниками) такого емітента" (складова глави 2 розділу ІV Річного звіту); "Інформація про будь-які договори та/або правочини, умовою чинності яких є незмінність осіб, які здійснюють контроль над емітентом" (складова глави 2 розділу ІV Річного звіту); "Інформація про будь-які винагороди або компенсації, що мають бути виплачені посадовим особам емітента в разі їх звільнення" (складова п.1 глави 1 розділу IV Річного звіту) не розкрито особою у складі річного звіту відповідно до пп. 6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р. (далі - Рішення 608), а саме  оскільки емітент не є акціонерним товариством і не підпадає під вимоги пп.4 пункту 48  глави 1 розділу ІІІ Положення 608.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щодо усiх випускiв цiнних паперiв, за якими надається забезпечення (якщо рiчний звiт подається особою, яка надає забезпечення (незалежно вiд того, чи є особа емiтентом)",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щодо всiх осiб, якi на дають забезпечення за його зобов'язаннями (якщо за зобов'язаннями емiтента надаються забезпечення)", що міститься в главі 1 розділу І, не розкрита особою у складі річного звіту через те, що за зобов'язаннями емітента не надаються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судовi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"Інформація про володіння посадовими особами емітента акціями особи", що міститься в главі 2  розділу І,  не наводиться, оскiльки Товариство не є емiтентом акцiй.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iпотечними цiнними паперами (за кожним власним випуском)", оскільки протягом звітного періоду емітент не мав зобов'язань за iпотечними цiнними паперами.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сертифiкатами ФОН (за кожним власним випуском)", оскільки протягом звітного періоду емітент не мав зобов'язань за сертифiкатами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за векселями (всього)", оскільки протягом звітного періоду емітент не мав зобов'язань за векселями.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"Iнформацiя про зобов'язання та забезпечення емiтента" (глава 4 розділу І) не містить інформацію про  "Зобов'язання за цiнними паперами у тому числi: за iншими цiнними паперами (у тому числi за похiдними цiнними </w:t>
      </w:r>
      <w:r w:rsidRPr="00875D57">
        <w:rPr>
          <w:rFonts w:ascii="Times New Roman" w:hAnsi="Times New Roman"/>
          <w:sz w:val="20"/>
          <w:szCs w:val="20"/>
          <w:lang w:val="en-US"/>
        </w:rPr>
        <w:lastRenderedPageBreak/>
        <w:t>паперами) (за кожним видом)", оскільки протягом звітного періоду емітент не мав зобов'язань за iншими цiнними паперами (у тому числi за похiдними цiнними паперами).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зобов'язання та забезпечення емiтента" (глава 4 розділу І) не містить інформацію про  "Зобов'язання за цiнними паперами у тому числi: за фiнансовими iнвестицiями в корпоративнi права (за кожним видом)", оскільки протягом звітного періоду емітент не мав зобов'язань за фiнансовими iнвестицiями в корпоративнi права.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зобов'язання та забезпечення емiтента"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2025 році.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обсяги виробництва та реалiзацiї основних видiв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собiвартiсть реалiзованої продукцiї"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Глава 6 розділу І  "Iнформацiя про вiдокремленi пiдроздiл" не розкрита особою у складі річного звіту через те, що на кінець звітного періоду особа не мала відокремлених підрозділів.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Глава 2 розділу ІІ "Iнформацiя щодо змiни прав на акцiї"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випуски акцій", "Iнформацiя щодо наявностi обмежень за акцiями", "Iнформацiя про придбання власних акцiй протягом звiтного перiоду", "Iнформацiя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акцій.</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iншi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деривативнi цiннi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забезпечення випуску боргових цiнних паперiв",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"Звiт про стан об'єкта нерухомостi (у разi емiсiї цiльових корпоративних облiгацiй, виконання зобов'язань за якими здiйснюється шляхом об'єкта (частини об'єкта) житлового будiвництва)",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здiйснюється шляхом об'єкта (частини об'єкта) житлового будiвництва.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Складова змісту річної інформації "Вiдомостi про прийняття рiшення про попереднє надання згоди на вчинення значних правочинiв", що містяться в главі 5 розділу ІІІ, не розкрита особою у складі річного звіту через те, що протягом звітного періоду особа не приймала рiшення про попереднє надання згоди на вчинення значних правочинiв.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"Рiчна фiнансова звiтнiсть поручителя (страховика/гаранта), що здiйснює забезпечення випуску боргових цiнних паперiв"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змiну прав власникiв депозитарних розписок за такими деривативними цiнними паперами у зв'язку зi змiною прав за акцiями, що є базовим активом таких деривативних цiнних паперiв" (складова  розділу V)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цiнних паперiв, а також не укладала деривативних контрактів та не здійснювала емісію деривативних цінних паперів.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випуски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розмiр iпотечного покриття та його спiввiдношення з розмiром (сумою) зобов'язань за iпотечними  облiгацiями з цим iпотечним покриттям"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"Iнформацiя щодо спiввiдношення розмiру iпотечного покриття з розмiром (сумою) зобов'язань за iпотечними  облiгацiями з цим iпотечним покриттям на кожну дату пiсля замiн iпотечних активiв у складi iпотечного покриття, якi вiдбувались протягом звiтного пер" (складова  "Iнформацiї щодо iпотечних облiгацiй - глава 1 розділу V) не </w:t>
      </w:r>
      <w:r w:rsidRPr="00875D57">
        <w:rPr>
          <w:rFonts w:ascii="Times New Roman" w:hAnsi="Times New Roman"/>
          <w:sz w:val="20"/>
          <w:szCs w:val="20"/>
          <w:lang w:val="en-US"/>
        </w:rPr>
        <w:lastRenderedPageBreak/>
        <w:t>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замiни iпотечних активiв у складi iпотечного покриття або включення нових iпотечних активiв до складу iпотечного покриття (за кожним випуском iпотечних облiгацiй)"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"Вiдомостi про структуру iпотечного покриття iпотечних облiгацiй за видами iпотечних активiв та iнших активiв на кiнець звiтного перiоду"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"Вiдомостi щодо пiдстав виникнення у емiтента iпотечних облiгацiй прав на iпотечнi активи, якi складають iпотечне покриття за станом на кiнець звiтного року"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наявнiсть прострочених боржником строкiв сплати чергових платежiв за кредитними договорами (договорами позики), права вимоги за якими забезпечено iпотеками, якi включено до складу iпотечного покриття" (складова  "Iнформацiї щодо iпотечних облiгацiй - глава 1 розділу V)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"Вiдомостi про замiну адмiнiстратора за випуском облiгацiй, управителя iпотечних активiв "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"Основнi вiдомостi про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випуски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осiб, що володiють сертифiкатами ФОН. Юридичнi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осiб, що володiють сертифiкатами ФОН. Фiзичнi особи власники сертифiкатiв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"Iнформацiя про осiб, що володiють сертифiкатами ФОН. Усього"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"Розрахунок вартостi чистих активiв ФОН (на кiнець звiтного перiоду)"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"Правила ФОН"  (складова "Iнформацiя щодо сертифiкатiв ФОН" - глава 2 розділу V)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"Дивіденди. Інформація про виплату дивідендів та інших доходів за цінними паперами у звітному році" (глава 4 Розділу IV) не заповнюється, оскільки у звітному році дивіденди не виплачувались, рішення про виплату дивідендів не приймалось.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Розділ VI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875D57">
        <w:rPr>
          <w:rFonts w:ascii="Times New Roman" w:hAnsi="Times New Roman"/>
          <w:b/>
          <w:color w:val="000000"/>
          <w:sz w:val="24"/>
          <w:szCs w:val="24"/>
        </w:rPr>
        <w:t>Зміст</w:t>
      </w:r>
      <w:r w:rsidRPr="00875D57">
        <w:rPr>
          <w:rFonts w:ascii="Times New Roman" w:hAnsi="Times New Roman"/>
          <w:b/>
          <w:color w:val="000000"/>
          <w:sz w:val="24"/>
          <w:szCs w:val="24"/>
          <w:vertAlign w:val="superscript"/>
        </w:rPr>
        <w:t xml:space="preserve"> </w:t>
      </w:r>
      <w:r w:rsidRPr="00875D57">
        <w:rPr>
          <w:rFonts w:ascii="Times New Roman" w:hAnsi="Times New Roman"/>
          <w:b/>
          <w:color w:val="000000"/>
          <w:sz w:val="24"/>
          <w:szCs w:val="24"/>
        </w:rPr>
        <w:t>до річного звіту</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875D57" w:rsidRDefault="00875D57">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450066" w:history="1">
        <w:r w:rsidRPr="005F0C39">
          <w:rPr>
            <w:rStyle w:val="a9"/>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_Toc212450066 \h </w:instrText>
        </w:r>
        <w:r>
          <w:rPr>
            <w:noProof/>
            <w:webHidden/>
          </w:rPr>
        </w:r>
        <w:r>
          <w:rPr>
            <w:noProof/>
            <w:webHidden/>
          </w:rPr>
          <w:fldChar w:fldCharType="separate"/>
        </w:r>
        <w:r>
          <w:rPr>
            <w:noProof/>
            <w:webHidden/>
          </w:rPr>
          <w:t>6</w:t>
        </w:r>
        <w:r>
          <w:rPr>
            <w:noProof/>
            <w:webHidden/>
          </w:rPr>
          <w:fldChar w:fldCharType="end"/>
        </w:r>
      </w:hyperlink>
    </w:p>
    <w:p w:rsidR="00875D57" w:rsidRDefault="00875D57">
      <w:pPr>
        <w:pStyle w:val="10"/>
        <w:tabs>
          <w:tab w:val="right" w:leader="dot" w:pos="9912"/>
        </w:tabs>
        <w:rPr>
          <w:noProof/>
        </w:rPr>
      </w:pPr>
      <w:hyperlink w:anchor="_Toc212450067" w:history="1">
        <w:r w:rsidRPr="005F0C39">
          <w:rPr>
            <w:rStyle w:val="a9"/>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_Toc212450067 \h </w:instrText>
        </w:r>
        <w:r>
          <w:rPr>
            <w:noProof/>
            <w:webHidden/>
          </w:rPr>
        </w:r>
        <w:r>
          <w:rPr>
            <w:noProof/>
            <w:webHidden/>
          </w:rPr>
          <w:fldChar w:fldCharType="separate"/>
        </w:r>
        <w:r>
          <w:rPr>
            <w:noProof/>
            <w:webHidden/>
          </w:rPr>
          <w:t>6</w:t>
        </w:r>
        <w:r>
          <w:rPr>
            <w:noProof/>
            <w:webHidden/>
          </w:rPr>
          <w:fldChar w:fldCharType="end"/>
        </w:r>
      </w:hyperlink>
    </w:p>
    <w:p w:rsidR="00875D57" w:rsidRDefault="00875D57">
      <w:pPr>
        <w:pStyle w:val="10"/>
        <w:tabs>
          <w:tab w:val="right" w:leader="dot" w:pos="9912"/>
        </w:tabs>
        <w:rPr>
          <w:noProof/>
        </w:rPr>
      </w:pPr>
      <w:hyperlink w:anchor="_Toc212450068" w:history="1">
        <w:r w:rsidRPr="005F0C39">
          <w:rPr>
            <w:rStyle w:val="a9"/>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_Toc212450068 \h </w:instrText>
        </w:r>
        <w:r>
          <w:rPr>
            <w:noProof/>
            <w:webHidden/>
          </w:rPr>
        </w:r>
        <w:r>
          <w:rPr>
            <w:noProof/>
            <w:webHidden/>
          </w:rPr>
          <w:fldChar w:fldCharType="separate"/>
        </w:r>
        <w:r>
          <w:rPr>
            <w:noProof/>
            <w:webHidden/>
          </w:rPr>
          <w:t>8</w:t>
        </w:r>
        <w:r>
          <w:rPr>
            <w:noProof/>
            <w:webHidden/>
          </w:rPr>
          <w:fldChar w:fldCharType="end"/>
        </w:r>
      </w:hyperlink>
    </w:p>
    <w:p w:rsidR="00875D57" w:rsidRDefault="00875D57">
      <w:pPr>
        <w:pStyle w:val="10"/>
        <w:tabs>
          <w:tab w:val="right" w:leader="dot" w:pos="9912"/>
        </w:tabs>
        <w:rPr>
          <w:noProof/>
        </w:rPr>
      </w:pPr>
      <w:hyperlink w:anchor="_Toc212450069" w:history="1">
        <w:r w:rsidRPr="005F0C39">
          <w:rPr>
            <w:rStyle w:val="a9"/>
            <w:rFonts w:ascii="Times New Roman" w:hAnsi="Times New Roman"/>
            <w:b/>
            <w:bCs/>
            <w:noProof/>
            <w:kern w:val="28"/>
            <w:lang w:val="ru-RU"/>
          </w:rPr>
          <w:t xml:space="preserve">3. </w:t>
        </w:r>
        <w:r w:rsidRPr="005F0C39">
          <w:rPr>
            <w:rStyle w:val="a9"/>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_Toc212450069 \h </w:instrText>
        </w:r>
        <w:r>
          <w:rPr>
            <w:noProof/>
            <w:webHidden/>
          </w:rPr>
        </w:r>
        <w:r>
          <w:rPr>
            <w:noProof/>
            <w:webHidden/>
          </w:rPr>
          <w:fldChar w:fldCharType="separate"/>
        </w:r>
        <w:r>
          <w:rPr>
            <w:noProof/>
            <w:webHidden/>
          </w:rPr>
          <w:t>10</w:t>
        </w:r>
        <w:r>
          <w:rPr>
            <w:noProof/>
            <w:webHidden/>
          </w:rPr>
          <w:fldChar w:fldCharType="end"/>
        </w:r>
      </w:hyperlink>
    </w:p>
    <w:p w:rsidR="00875D57" w:rsidRDefault="00875D57">
      <w:pPr>
        <w:pStyle w:val="10"/>
        <w:tabs>
          <w:tab w:val="right" w:leader="dot" w:pos="9912"/>
        </w:tabs>
        <w:rPr>
          <w:noProof/>
        </w:rPr>
      </w:pPr>
      <w:hyperlink w:anchor="_Toc212450070" w:history="1">
        <w:r w:rsidRPr="005F0C39">
          <w:rPr>
            <w:rStyle w:val="a9"/>
            <w:rFonts w:ascii="Times New Roman" w:hAnsi="Times New Roman"/>
            <w:b/>
            <w:bCs/>
            <w:noProof/>
            <w:kern w:val="28"/>
            <w:lang w:val="ru-RU"/>
          </w:rPr>
          <w:t xml:space="preserve">4. </w:t>
        </w:r>
        <w:r w:rsidRPr="005F0C39">
          <w:rPr>
            <w:rStyle w:val="a9"/>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_Toc212450070 \h </w:instrText>
        </w:r>
        <w:r>
          <w:rPr>
            <w:noProof/>
            <w:webHidden/>
          </w:rPr>
        </w:r>
        <w:r>
          <w:rPr>
            <w:noProof/>
            <w:webHidden/>
          </w:rPr>
          <w:fldChar w:fldCharType="separate"/>
        </w:r>
        <w:r>
          <w:rPr>
            <w:noProof/>
            <w:webHidden/>
          </w:rPr>
          <w:t>10</w:t>
        </w:r>
        <w:r>
          <w:rPr>
            <w:noProof/>
            <w:webHidden/>
          </w:rPr>
          <w:fldChar w:fldCharType="end"/>
        </w:r>
      </w:hyperlink>
    </w:p>
    <w:p w:rsidR="00875D57" w:rsidRDefault="00875D57">
      <w:pPr>
        <w:pStyle w:val="10"/>
        <w:tabs>
          <w:tab w:val="right" w:leader="dot" w:pos="9912"/>
        </w:tabs>
        <w:rPr>
          <w:noProof/>
        </w:rPr>
      </w:pPr>
      <w:hyperlink w:anchor="_Toc212450071" w:history="1">
        <w:r w:rsidRPr="005F0C39">
          <w:rPr>
            <w:rStyle w:val="a9"/>
            <w:rFonts w:ascii="Times New Roman" w:hAnsi="Times New Roman"/>
            <w:b/>
            <w:bCs/>
            <w:noProof/>
            <w:kern w:val="28"/>
          </w:rPr>
          <w:t>II. Інформація щодо капіталу та цінних паперів</w:t>
        </w:r>
        <w:r>
          <w:rPr>
            <w:noProof/>
            <w:webHidden/>
          </w:rPr>
          <w:tab/>
        </w:r>
        <w:r>
          <w:rPr>
            <w:noProof/>
            <w:webHidden/>
          </w:rPr>
          <w:fldChar w:fldCharType="begin"/>
        </w:r>
        <w:r>
          <w:rPr>
            <w:noProof/>
            <w:webHidden/>
          </w:rPr>
          <w:instrText xml:space="preserve"> PAGEREF _Toc212450071 \h </w:instrText>
        </w:r>
        <w:r>
          <w:rPr>
            <w:noProof/>
            <w:webHidden/>
          </w:rPr>
        </w:r>
        <w:r>
          <w:rPr>
            <w:noProof/>
            <w:webHidden/>
          </w:rPr>
          <w:fldChar w:fldCharType="separate"/>
        </w:r>
        <w:r>
          <w:rPr>
            <w:noProof/>
            <w:webHidden/>
          </w:rPr>
          <w:t>20</w:t>
        </w:r>
        <w:r>
          <w:rPr>
            <w:noProof/>
            <w:webHidden/>
          </w:rPr>
          <w:fldChar w:fldCharType="end"/>
        </w:r>
      </w:hyperlink>
    </w:p>
    <w:p w:rsidR="00875D57" w:rsidRDefault="00875D57">
      <w:pPr>
        <w:pStyle w:val="10"/>
        <w:tabs>
          <w:tab w:val="right" w:leader="dot" w:pos="9912"/>
        </w:tabs>
        <w:rPr>
          <w:noProof/>
        </w:rPr>
      </w:pPr>
      <w:hyperlink w:anchor="_Toc212450072" w:history="1">
        <w:r w:rsidRPr="005F0C39">
          <w:rPr>
            <w:rStyle w:val="a9"/>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_Toc212450072 \h </w:instrText>
        </w:r>
        <w:r>
          <w:rPr>
            <w:noProof/>
            <w:webHidden/>
          </w:rPr>
        </w:r>
        <w:r>
          <w:rPr>
            <w:noProof/>
            <w:webHidden/>
          </w:rPr>
          <w:fldChar w:fldCharType="separate"/>
        </w:r>
        <w:r>
          <w:rPr>
            <w:noProof/>
            <w:webHidden/>
          </w:rPr>
          <w:t>20</w:t>
        </w:r>
        <w:r>
          <w:rPr>
            <w:noProof/>
            <w:webHidden/>
          </w:rPr>
          <w:fldChar w:fldCharType="end"/>
        </w:r>
      </w:hyperlink>
    </w:p>
    <w:p w:rsidR="00875D57" w:rsidRDefault="00875D57">
      <w:pPr>
        <w:pStyle w:val="10"/>
        <w:tabs>
          <w:tab w:val="right" w:leader="dot" w:pos="9912"/>
        </w:tabs>
        <w:rPr>
          <w:noProof/>
        </w:rPr>
      </w:pPr>
      <w:hyperlink w:anchor="_Toc212450073" w:history="1">
        <w:r w:rsidRPr="005F0C39">
          <w:rPr>
            <w:rStyle w:val="a9"/>
            <w:rFonts w:ascii="Times New Roman" w:hAnsi="Times New Roman"/>
            <w:b/>
            <w:bCs/>
            <w:noProof/>
            <w:kern w:val="28"/>
            <w:lang w:val="en-US"/>
          </w:rPr>
          <w:t xml:space="preserve">III. </w:t>
        </w:r>
        <w:r w:rsidRPr="005F0C39">
          <w:rPr>
            <w:rStyle w:val="a9"/>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_Toc212450073 \h </w:instrText>
        </w:r>
        <w:r>
          <w:rPr>
            <w:noProof/>
            <w:webHidden/>
          </w:rPr>
        </w:r>
        <w:r>
          <w:rPr>
            <w:noProof/>
            <w:webHidden/>
          </w:rPr>
          <w:fldChar w:fldCharType="separate"/>
        </w:r>
        <w:r>
          <w:rPr>
            <w:noProof/>
            <w:webHidden/>
          </w:rPr>
          <w:t>20</w:t>
        </w:r>
        <w:r>
          <w:rPr>
            <w:noProof/>
            <w:webHidden/>
          </w:rPr>
          <w:fldChar w:fldCharType="end"/>
        </w:r>
      </w:hyperlink>
    </w:p>
    <w:p w:rsidR="00875D57" w:rsidRDefault="00875D57">
      <w:pPr>
        <w:pStyle w:val="10"/>
        <w:tabs>
          <w:tab w:val="right" w:leader="dot" w:pos="9912"/>
        </w:tabs>
        <w:rPr>
          <w:noProof/>
        </w:rPr>
      </w:pPr>
      <w:hyperlink w:anchor="_Toc212450074" w:history="1">
        <w:r w:rsidRPr="005F0C39">
          <w:rPr>
            <w:rStyle w:val="a9"/>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_Toc212450074 \h </w:instrText>
        </w:r>
        <w:r>
          <w:rPr>
            <w:noProof/>
            <w:webHidden/>
          </w:rPr>
        </w:r>
        <w:r>
          <w:rPr>
            <w:noProof/>
            <w:webHidden/>
          </w:rPr>
          <w:fldChar w:fldCharType="separate"/>
        </w:r>
        <w:r>
          <w:rPr>
            <w:noProof/>
            <w:webHidden/>
          </w:rPr>
          <w:t>20</w:t>
        </w:r>
        <w:r>
          <w:rPr>
            <w:noProof/>
            <w:webHidden/>
          </w:rPr>
          <w:fldChar w:fldCharType="end"/>
        </w:r>
      </w:hyperlink>
    </w:p>
    <w:p w:rsidR="00875D57" w:rsidRDefault="00875D57">
      <w:pPr>
        <w:pStyle w:val="10"/>
        <w:tabs>
          <w:tab w:val="right" w:leader="dot" w:pos="9912"/>
        </w:tabs>
        <w:rPr>
          <w:noProof/>
        </w:rPr>
      </w:pPr>
      <w:hyperlink w:anchor="_Toc212450075" w:history="1">
        <w:r w:rsidRPr="005F0C39">
          <w:rPr>
            <w:rStyle w:val="a9"/>
            <w:rFonts w:ascii="Times New Roman" w:hAnsi="Times New Roman"/>
            <w:b/>
            <w:bCs/>
            <w:noProof/>
            <w:kern w:val="28"/>
            <w:lang w:val="en-US"/>
          </w:rPr>
          <w:t>2. Річна</w:t>
        </w:r>
        <w:r w:rsidRPr="005F0C39">
          <w:rPr>
            <w:rStyle w:val="a9"/>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_Toc212450075 \h </w:instrText>
        </w:r>
        <w:r>
          <w:rPr>
            <w:noProof/>
            <w:webHidden/>
          </w:rPr>
        </w:r>
        <w:r>
          <w:rPr>
            <w:noProof/>
            <w:webHidden/>
          </w:rPr>
          <w:fldChar w:fldCharType="separate"/>
        </w:r>
        <w:r>
          <w:rPr>
            <w:noProof/>
            <w:webHidden/>
          </w:rPr>
          <w:t>22</w:t>
        </w:r>
        <w:r>
          <w:rPr>
            <w:noProof/>
            <w:webHidden/>
          </w:rPr>
          <w:fldChar w:fldCharType="end"/>
        </w:r>
      </w:hyperlink>
    </w:p>
    <w:p w:rsidR="00875D57" w:rsidRDefault="00875D57">
      <w:pPr>
        <w:pStyle w:val="10"/>
        <w:tabs>
          <w:tab w:val="right" w:leader="dot" w:pos="9912"/>
        </w:tabs>
        <w:rPr>
          <w:noProof/>
        </w:rPr>
      </w:pPr>
      <w:hyperlink w:anchor="_Toc212450076" w:history="1">
        <w:r w:rsidRPr="005F0C39">
          <w:rPr>
            <w:rStyle w:val="a9"/>
            <w:rFonts w:ascii="Times New Roman" w:hAnsi="Times New Roman"/>
            <w:b/>
            <w:bCs/>
            <w:noProof/>
            <w:kern w:val="28"/>
          </w:rPr>
          <w:t>3. Аудиторський звіт до річної фінансової звітності</w:t>
        </w:r>
        <w:r>
          <w:rPr>
            <w:noProof/>
            <w:webHidden/>
          </w:rPr>
          <w:tab/>
        </w:r>
        <w:r>
          <w:rPr>
            <w:noProof/>
            <w:webHidden/>
          </w:rPr>
          <w:fldChar w:fldCharType="begin"/>
        </w:r>
        <w:r>
          <w:rPr>
            <w:noProof/>
            <w:webHidden/>
          </w:rPr>
          <w:instrText xml:space="preserve"> PAGEREF _Toc212450076 \h </w:instrText>
        </w:r>
        <w:r>
          <w:rPr>
            <w:noProof/>
            <w:webHidden/>
          </w:rPr>
        </w:r>
        <w:r>
          <w:rPr>
            <w:noProof/>
            <w:webHidden/>
          </w:rPr>
          <w:fldChar w:fldCharType="separate"/>
        </w:r>
        <w:r>
          <w:rPr>
            <w:noProof/>
            <w:webHidden/>
          </w:rPr>
          <w:t>22</w:t>
        </w:r>
        <w:r>
          <w:rPr>
            <w:noProof/>
            <w:webHidden/>
          </w:rPr>
          <w:fldChar w:fldCharType="end"/>
        </w:r>
      </w:hyperlink>
    </w:p>
    <w:p w:rsidR="00875D57" w:rsidRDefault="00875D57">
      <w:pPr>
        <w:pStyle w:val="10"/>
        <w:tabs>
          <w:tab w:val="right" w:leader="dot" w:pos="9912"/>
        </w:tabs>
        <w:rPr>
          <w:noProof/>
        </w:rPr>
      </w:pPr>
      <w:hyperlink w:anchor="_Toc212450077" w:history="1">
        <w:r w:rsidRPr="005F0C39">
          <w:rPr>
            <w:rStyle w:val="a9"/>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_Toc212450077 \h </w:instrText>
        </w:r>
        <w:r>
          <w:rPr>
            <w:noProof/>
            <w:webHidden/>
          </w:rPr>
        </w:r>
        <w:r>
          <w:rPr>
            <w:noProof/>
            <w:webHidden/>
          </w:rPr>
          <w:fldChar w:fldCharType="separate"/>
        </w:r>
        <w:r>
          <w:rPr>
            <w:noProof/>
            <w:webHidden/>
          </w:rPr>
          <w:t>27</w:t>
        </w:r>
        <w:r>
          <w:rPr>
            <w:noProof/>
            <w:webHidden/>
          </w:rPr>
          <w:fldChar w:fldCharType="end"/>
        </w:r>
      </w:hyperlink>
    </w:p>
    <w:p w:rsidR="00875D57" w:rsidRDefault="00875D57">
      <w:pPr>
        <w:pStyle w:val="10"/>
        <w:tabs>
          <w:tab w:val="right" w:leader="dot" w:pos="9912"/>
        </w:tabs>
        <w:rPr>
          <w:noProof/>
        </w:rPr>
      </w:pPr>
      <w:hyperlink w:anchor="_Toc212450078" w:history="1">
        <w:r w:rsidRPr="005F0C39">
          <w:rPr>
            <w:rStyle w:val="a9"/>
            <w:rFonts w:ascii="Times New Roman" w:hAnsi="Times New Roman"/>
            <w:b/>
            <w:bCs/>
            <w:noProof/>
            <w:kern w:val="32"/>
          </w:rPr>
          <w:t>5. Перелік посилань на внутрішні документи особи, що розміщені на вебсайті особи</w:t>
        </w:r>
        <w:r>
          <w:rPr>
            <w:noProof/>
            <w:webHidden/>
          </w:rPr>
          <w:tab/>
        </w:r>
        <w:r>
          <w:rPr>
            <w:noProof/>
            <w:webHidden/>
          </w:rPr>
          <w:fldChar w:fldCharType="begin"/>
        </w:r>
        <w:r>
          <w:rPr>
            <w:noProof/>
            <w:webHidden/>
          </w:rPr>
          <w:instrText xml:space="preserve"> PAGEREF _Toc212450078 \h </w:instrText>
        </w:r>
        <w:r>
          <w:rPr>
            <w:noProof/>
            <w:webHidden/>
          </w:rPr>
        </w:r>
        <w:r>
          <w:rPr>
            <w:noProof/>
            <w:webHidden/>
          </w:rPr>
          <w:fldChar w:fldCharType="separate"/>
        </w:r>
        <w:r>
          <w:rPr>
            <w:noProof/>
            <w:webHidden/>
          </w:rPr>
          <w:t>28</w:t>
        </w:r>
        <w:r>
          <w:rPr>
            <w:noProof/>
            <w:webHidden/>
          </w:rPr>
          <w:fldChar w:fldCharType="end"/>
        </w:r>
      </w:hyperlink>
    </w:p>
    <w:p w:rsidR="00875D57" w:rsidRPr="00875D57" w:rsidRDefault="00875D57" w:rsidP="00875D57">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875D57" w:rsidRPr="00875D57" w:rsidRDefault="00875D57" w:rsidP="00875D57">
      <w:pPr>
        <w:spacing w:before="240" w:after="60" w:line="240" w:lineRule="auto"/>
        <w:jc w:val="center"/>
        <w:outlineLvl w:val="0"/>
        <w:rPr>
          <w:rFonts w:ascii="Times New Roman" w:hAnsi="Times New Roman"/>
          <w:b/>
          <w:bCs/>
          <w:kern w:val="28"/>
          <w:sz w:val="28"/>
          <w:szCs w:val="28"/>
        </w:rPr>
      </w:pPr>
      <w:bookmarkStart w:id="1" w:name="_Toc212450066"/>
      <w:r w:rsidRPr="00875D57">
        <w:rPr>
          <w:rFonts w:ascii="Times New Roman" w:hAnsi="Times New Roman"/>
          <w:b/>
          <w:bCs/>
          <w:kern w:val="28"/>
          <w:sz w:val="28"/>
          <w:szCs w:val="28"/>
        </w:rPr>
        <w:t>I. Загальна інформація</w:t>
      </w:r>
      <w:bookmarkEnd w:id="1"/>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2" w:name="_Toc212450067"/>
      <w:r w:rsidRPr="00875D57">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875D57" w:rsidRPr="00875D57" w:rsidTr="00073F6D">
        <w:trPr>
          <w:trHeight w:val="397"/>
        </w:trPr>
        <w:tc>
          <w:tcPr>
            <w:tcW w:w="533" w:type="dxa"/>
            <w:tcBorders>
              <w:top w:val="single" w:sz="6" w:space="0" w:color="auto"/>
            </w:tcBorders>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 xml:space="preserve"> </w:t>
            </w:r>
            <w:r w:rsidRPr="00875D57">
              <w:rPr>
                <w:rFonts w:ascii="Times New Roman" w:hAnsi="Times New Roman"/>
                <w:sz w:val="20"/>
                <w:szCs w:val="20"/>
                <w:lang w:val="en-US"/>
              </w:rPr>
              <w:t>ТОВАРИСТВО З ОБМЕЖЕНОЮ ВІДПОВІДАЛЬНІСТЮ "ФІНАНСОВА КОМПАНІЯ "А-ФІНАНС"</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2</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 xml:space="preserve"> </w:t>
            </w:r>
            <w:r w:rsidRPr="00875D57">
              <w:rPr>
                <w:rFonts w:ascii="Times New Roman" w:hAnsi="Times New Roman"/>
                <w:sz w:val="20"/>
                <w:szCs w:val="20"/>
                <w:lang w:val="en-US"/>
              </w:rPr>
              <w:t>ТОВ "ФК "А-ФІНАНС"</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3</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43064717</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4</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Дата державної реєстрації</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 xml:space="preserve"> </w:t>
            </w:r>
            <w:r w:rsidRPr="00875D57">
              <w:rPr>
                <w:rFonts w:ascii="Times New Roman" w:hAnsi="Times New Roman"/>
                <w:sz w:val="20"/>
                <w:szCs w:val="20"/>
                <w:lang w:val="en-US"/>
              </w:rPr>
              <w:t>18.06.2019</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5</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Місцезнаходження</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01042 УКРАЇНА  д/н                                                                                                  м. Київ                                                                                              БУЛЬВАР МАРІЇ ПРИЙМАЧЕНКО, будинок 1/27, офіс, 304</w:t>
            </w:r>
          </w:p>
          <w:p w:rsidR="00875D57" w:rsidRPr="00875D57" w:rsidRDefault="00875D57" w:rsidP="00875D57">
            <w:pPr>
              <w:spacing w:after="0" w:line="240" w:lineRule="auto"/>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 xml:space="preserve">Фактичне місцезнаходження: </w:t>
            </w:r>
          </w:p>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01042 УКРАЇНА  д/н                                                                                                                                                                                                                                                            м. Київ                                                                                                                                                                                                                                                        БУЛЬВАР МАРІЇ ПРИЙМАЧЕНКО, будинок 1/27, офіс, 304/6</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6</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УКРАЇНА, 01042, д/н, м. Київ, БУЛЬВАР МАРІЇ ПРИЙМАЧЕНКО, будинок 1/27, офіс, 304/6</w:t>
            </w:r>
          </w:p>
        </w:tc>
      </w:tr>
      <w:tr w:rsidR="00875D57" w:rsidRPr="00875D57" w:rsidTr="00073F6D">
        <w:trPr>
          <w:gridAfter w:val="1"/>
          <w:wAfter w:w="10" w:type="dxa"/>
          <w:trHeight w:val="195"/>
        </w:trPr>
        <w:tc>
          <w:tcPr>
            <w:tcW w:w="533" w:type="dxa"/>
            <w:vMerge w:val="restart"/>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Емітент</w:t>
            </w:r>
          </w:p>
        </w:tc>
      </w:tr>
      <w:tr w:rsidR="00875D57" w:rsidRPr="00875D57" w:rsidTr="00073F6D">
        <w:trPr>
          <w:gridAfter w:val="1"/>
          <w:wAfter w:w="10" w:type="dxa"/>
          <w:trHeight w:val="195"/>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Особа, яка надає забезпечення</w:t>
            </w:r>
          </w:p>
        </w:tc>
      </w:tr>
      <w:tr w:rsidR="00875D57" w:rsidRPr="00875D57" w:rsidTr="00073F6D">
        <w:trPr>
          <w:trHeight w:val="240"/>
        </w:trPr>
        <w:tc>
          <w:tcPr>
            <w:tcW w:w="533" w:type="dxa"/>
            <w:vMerge w:val="restart"/>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8</w:t>
            </w:r>
          </w:p>
        </w:tc>
        <w:tc>
          <w:tcPr>
            <w:tcW w:w="4384" w:type="dxa"/>
            <w:vMerge w:val="restart"/>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Так</w:t>
            </w:r>
          </w:p>
        </w:tc>
      </w:tr>
      <w:tr w:rsidR="00875D57" w:rsidRPr="00875D57" w:rsidTr="00073F6D">
        <w:trPr>
          <w:trHeight w:val="240"/>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Ні</w:t>
            </w:r>
          </w:p>
        </w:tc>
      </w:tr>
      <w:tr w:rsidR="00875D57" w:rsidRPr="00875D57" w:rsidTr="00073F6D">
        <w:trPr>
          <w:trHeight w:val="99"/>
        </w:trPr>
        <w:tc>
          <w:tcPr>
            <w:tcW w:w="533" w:type="dxa"/>
            <w:vMerge w:val="restart"/>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9</w:t>
            </w:r>
          </w:p>
        </w:tc>
        <w:tc>
          <w:tcPr>
            <w:tcW w:w="4384" w:type="dxa"/>
            <w:vMerge w:val="restart"/>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Велике</w:t>
            </w:r>
          </w:p>
        </w:tc>
      </w:tr>
      <w:tr w:rsidR="00875D57" w:rsidRPr="00875D57" w:rsidTr="00073F6D">
        <w:trPr>
          <w:trHeight w:val="97"/>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Середнє</w:t>
            </w:r>
          </w:p>
        </w:tc>
      </w:tr>
      <w:tr w:rsidR="00875D57" w:rsidRPr="00875D57" w:rsidTr="00073F6D">
        <w:trPr>
          <w:trHeight w:val="97"/>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Мале</w:t>
            </w:r>
          </w:p>
        </w:tc>
      </w:tr>
      <w:tr w:rsidR="00875D57" w:rsidRPr="00875D57" w:rsidTr="00073F6D">
        <w:trPr>
          <w:trHeight w:val="97"/>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875D57" w:rsidRPr="00875D57" w:rsidRDefault="00875D57" w:rsidP="00875D57">
            <w:pPr>
              <w:spacing w:after="0" w:line="240" w:lineRule="auto"/>
              <w:ind w:left="-140" w:firstLine="140"/>
              <w:rPr>
                <w:rFonts w:ascii="Times New Roman" w:hAnsi="Times New Roman"/>
                <w:sz w:val="20"/>
                <w:szCs w:val="20"/>
              </w:rPr>
            </w:pPr>
            <w:r w:rsidRPr="00875D57">
              <w:rPr>
                <w:rFonts w:ascii="Times New Roman" w:hAnsi="Times New Roman"/>
                <w:sz w:val="20"/>
                <w:szCs w:val="20"/>
              </w:rPr>
              <w:t>Мікро</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10</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fc_afinance@ukr.net</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11</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Адреса вебсайту</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https://a-finance.in.ua/</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12</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+380637344127, +380933023137</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13</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Статутний капітал (грн.)</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rPr>
            </w:pPr>
            <w:r w:rsidRPr="00875D57">
              <w:rPr>
                <w:rFonts w:ascii="Times New Roman" w:hAnsi="Times New Roman"/>
                <w:sz w:val="20"/>
                <w:szCs w:val="20"/>
              </w:rPr>
              <w:t xml:space="preserve"> </w:t>
            </w:r>
            <w:r w:rsidRPr="00875D57">
              <w:rPr>
                <w:rFonts w:ascii="Times New Roman" w:hAnsi="Times New Roman"/>
                <w:sz w:val="20"/>
                <w:szCs w:val="20"/>
                <w:lang w:val="en-US"/>
              </w:rPr>
              <w:t>18896000.00</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14</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ru-RU"/>
              </w:rPr>
              <w:t>0.000</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15</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ru-RU"/>
              </w:rPr>
              <w:t>0.000</w:t>
            </w:r>
          </w:p>
        </w:tc>
      </w:tr>
      <w:tr w:rsidR="00875D57" w:rsidRPr="00875D57" w:rsidTr="00073F6D">
        <w:trPr>
          <w:trHeight w:val="397"/>
        </w:trPr>
        <w:tc>
          <w:tcPr>
            <w:tcW w:w="533"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16</w:t>
            </w:r>
          </w:p>
        </w:tc>
        <w:tc>
          <w:tcPr>
            <w:tcW w:w="4384"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ru-RU"/>
              </w:rPr>
              <w:t>28</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17</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tc>
      </w:tr>
      <w:tr w:rsidR="00875D57" w:rsidRPr="00875D57" w:rsidTr="00073F6D">
        <w:trPr>
          <w:trHeight w:val="397"/>
        </w:trPr>
        <w:tc>
          <w:tcPr>
            <w:tcW w:w="533" w:type="dxa"/>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lastRenderedPageBreak/>
              <w:t>18</w:t>
            </w:r>
          </w:p>
        </w:tc>
        <w:tc>
          <w:tcPr>
            <w:tcW w:w="4384" w:type="dxa"/>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64.92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ВИДИ КРЕДИТУВАННЯ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64.91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ФІНАНСОВИЙ ЛІЗИНГ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64.99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НАДАННЯ ІНШИХ ФІНАНСОВИХ ПОСЛУГ (КРІМ СТРАХУВАННЯ ТА ПЕНСІЙНОГО ЗАБЕЗПЕЧЕННЯ), Н. В. І. У.</w:t>
            </w:r>
          </w:p>
        </w:tc>
      </w:tr>
      <w:tr w:rsidR="00875D57" w:rsidRPr="00875D57" w:rsidTr="00073F6D">
        <w:trPr>
          <w:trHeight w:val="130"/>
        </w:trPr>
        <w:tc>
          <w:tcPr>
            <w:tcW w:w="533" w:type="dxa"/>
            <w:vMerge w:val="restart"/>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19</w:t>
            </w:r>
          </w:p>
        </w:tc>
        <w:tc>
          <w:tcPr>
            <w:tcW w:w="4384" w:type="dxa"/>
            <w:vMerge w:val="restart"/>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X</w:t>
            </w:r>
          </w:p>
        </w:tc>
        <w:tc>
          <w:tcPr>
            <w:tcW w:w="4546" w:type="dxa"/>
            <w:gridSpan w:val="2"/>
            <w:tcBorders>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rPr>
              <w:t>Однорівнева</w:t>
            </w:r>
          </w:p>
        </w:tc>
      </w:tr>
      <w:tr w:rsidR="00875D57" w:rsidRPr="00875D57" w:rsidTr="00073F6D">
        <w:trPr>
          <w:trHeight w:val="130"/>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6" w:type="dxa"/>
            <w:gridSpan w:val="2"/>
            <w:tcBorders>
              <w:top w:val="nil"/>
              <w:left w:val="nil"/>
              <w:bottom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rPr>
              <w:t>Дворівнева</w:t>
            </w:r>
          </w:p>
        </w:tc>
      </w:tr>
      <w:tr w:rsidR="00875D57" w:rsidRPr="00875D57" w:rsidTr="00073F6D">
        <w:trPr>
          <w:trHeight w:val="130"/>
        </w:trPr>
        <w:tc>
          <w:tcPr>
            <w:tcW w:w="533" w:type="dxa"/>
            <w:vMerge/>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rPr>
              <w:t>Інше:</w:t>
            </w:r>
            <w:r w:rsidRPr="00875D57">
              <w:rPr>
                <w:rFonts w:ascii="Times New Roman" w:hAnsi="Times New Roman"/>
                <w:sz w:val="20"/>
                <w:szCs w:val="20"/>
                <w:lang w:val="en-US"/>
              </w:rPr>
              <w:t xml:space="preserve">  </w:t>
            </w:r>
          </w:p>
        </w:tc>
      </w:tr>
    </w:tbl>
    <w:p w:rsidR="00875D57" w:rsidRPr="00875D57" w:rsidRDefault="00875D57" w:rsidP="00875D57">
      <w:pPr>
        <w:spacing w:after="0" w:line="240" w:lineRule="auto"/>
        <w:rPr>
          <w:rFonts w:ascii="Times New Roman" w:hAnsi="Times New Roman"/>
          <w:vanish/>
          <w:sz w:val="24"/>
          <w:szCs w:val="24"/>
        </w:rPr>
      </w:pPr>
    </w:p>
    <w:p w:rsidR="00875D57" w:rsidRPr="00875D57" w:rsidRDefault="00875D57" w:rsidP="00875D57">
      <w:pPr>
        <w:spacing w:after="0" w:line="240" w:lineRule="auto"/>
        <w:rPr>
          <w:rFonts w:ascii="Times New Roman" w:hAnsi="Times New Roman"/>
          <w:sz w:val="24"/>
          <w:szCs w:val="24"/>
          <w:lang w:val="ru-RU"/>
        </w:rPr>
      </w:pP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875D57">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АКЦІОНЕРНЕ ТОВАРИСТВО  "МОТОР-БАНК"</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35345213</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UA413130090000026506001028384</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Гривня, Євро, Долар США</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2</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АКЦІОНЕРНЕ ТОВАРИСТВО "КОМЕРЦІЙНИЙ ІНДУСТРIАЛЬНИЙ БАНК"</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21580639</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UA273225400000026502102043274</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Гривня</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3</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АКЦІОНЕРНЕ ТОВАРИСТВО  "УНІВЕРСАЛ БАНК"</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21133352</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UA163220010000026509290000082</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Гривня</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4</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АКЦІОНЕРНЕ ТОВАРИСТВО  "ВЕСТ ФАЙНЕНС ЕНД КРЕДИТ  БАНК"</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34575675</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UA573804410000026504001062601</w:t>
            </w:r>
          </w:p>
        </w:tc>
      </w:tr>
      <w:tr w:rsidR="00875D57" w:rsidRPr="00875D57" w:rsidTr="00073F6D">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875D57">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0"/>
              </w:rPr>
            </w:pPr>
            <w:r w:rsidRPr="00875D57">
              <w:rPr>
                <w:rFonts w:ascii="Times New Roman" w:hAnsi="Times New Roman"/>
                <w:sz w:val="20"/>
                <w:szCs w:val="20"/>
              </w:rPr>
              <w:t>Гривня,  Євро,  Долар США</w:t>
            </w:r>
          </w:p>
        </w:tc>
      </w:tr>
    </w:tbl>
    <w:p w:rsidR="00875D57" w:rsidRPr="00875D57" w:rsidRDefault="00875D57" w:rsidP="00875D57">
      <w:pPr>
        <w:ind w:left="-426"/>
      </w:pPr>
    </w:p>
    <w:p w:rsidR="00875D57" w:rsidRDefault="00875D57">
      <w:pPr>
        <w:sectPr w:rsidR="00875D57" w:rsidSect="00875D57">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875D57" w:rsidRPr="00875D57" w:rsidTr="00073F6D">
        <w:trPr>
          <w:gridAfter w:val="1"/>
          <w:wAfter w:w="169" w:type="dxa"/>
        </w:trPr>
        <w:tc>
          <w:tcPr>
            <w:tcW w:w="3593" w:type="dxa"/>
            <w:gridSpan w:val="3"/>
          </w:tcPr>
          <w:p w:rsidR="00875D57" w:rsidRPr="00875D57" w:rsidRDefault="00875D57" w:rsidP="00875D57">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875D57" w:rsidRPr="00875D57" w:rsidRDefault="00875D57" w:rsidP="00875D57">
            <w:pPr>
              <w:spacing w:after="0" w:line="240" w:lineRule="auto"/>
              <w:ind w:left="-438" w:firstLine="228"/>
              <w:rPr>
                <w:rFonts w:ascii="Times New Roman" w:hAnsi="Times New Roman"/>
                <w:b/>
                <w:bCs/>
                <w:sz w:val="28"/>
                <w:szCs w:val="28"/>
                <w:lang w:val="en-US"/>
              </w:rPr>
            </w:pPr>
            <w:r w:rsidRPr="00875D57">
              <w:rPr>
                <w:rFonts w:ascii="Times New Roman" w:hAnsi="Times New Roman"/>
                <w:b/>
                <w:sz w:val="24"/>
                <w:szCs w:val="24"/>
                <w:lang w:val="en-US"/>
              </w:rPr>
              <w:t xml:space="preserve">                                            </w:t>
            </w:r>
            <w:r w:rsidRPr="00875D57">
              <w:rPr>
                <w:rFonts w:ascii="Times New Roman" w:hAnsi="Times New Roman"/>
                <w:b/>
                <w:sz w:val="24"/>
                <w:szCs w:val="24"/>
              </w:rPr>
              <w:t>Штрафні санкції щодо емітента</w:t>
            </w:r>
            <w:r w:rsidRPr="00875D57">
              <w:rPr>
                <w:rFonts w:ascii="Times New Roman" w:hAnsi="Times New Roman"/>
                <w:b/>
                <w:sz w:val="24"/>
                <w:szCs w:val="24"/>
                <w:lang w:val="en-US"/>
              </w:rPr>
              <w:t xml:space="preserve"> </w:t>
            </w:r>
          </w:p>
        </w:tc>
      </w:tr>
      <w:tr w:rsidR="00875D57" w:rsidRPr="00875D57" w:rsidTr="00073F6D">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N</w:t>
            </w:r>
            <w:r w:rsidRPr="00875D57">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 xml:space="preserve">Орган, який наклав штрафну </w:t>
            </w:r>
            <w:r w:rsidRPr="00875D57">
              <w:rPr>
                <w:rFonts w:ascii="Times New Roman" w:hAnsi="Times New Roman"/>
                <w:b/>
                <w:sz w:val="20"/>
                <w:szCs w:val="20"/>
                <w:lang w:val="ru-RU"/>
              </w:rPr>
              <w:t xml:space="preserve"> </w:t>
            </w:r>
            <w:r w:rsidRPr="00875D57">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Інформація про виконання</w:t>
            </w:r>
          </w:p>
        </w:tc>
      </w:tr>
      <w:tr w:rsidR="00875D57" w:rsidRPr="00875D57" w:rsidTr="00073F6D">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6</w:t>
            </w:r>
          </w:p>
        </w:tc>
      </w:tr>
      <w:tr w:rsidR="00875D57" w:rsidRPr="00875D57" w:rsidTr="00073F6D">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107540/Ж5/26-15-07-08-02/430664717</w:t>
            </w:r>
          </w:p>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13.12.2024</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ДПС України</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Штрафна санкція 1020,00 грн .(Несвоєчасне подання звітності про суми доходів нарахованих (сплачених) на користь фізичних осіб за 4 кв.2020 р. та 4кв.2023 р.)</w:t>
            </w:r>
          </w:p>
        </w:tc>
        <w:tc>
          <w:tcPr>
            <w:tcW w:w="3132" w:type="dxa"/>
            <w:tcBorders>
              <w:top w:val="single" w:sz="6" w:space="0" w:color="000000"/>
              <w:left w:val="single" w:sz="6" w:space="0" w:color="000000"/>
              <w:bottom w:val="single" w:sz="6" w:space="0" w:color="000000"/>
              <w:right w:val="single" w:sz="6" w:space="0" w:color="000000"/>
            </w:tcBorders>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Акт про результати перевірки з питань дотримання вимог податкового, валютного та іншого законодавства (Підпункт 16.1.5 статті 16 та пункту 86.7 статті 86 розділу I Податкового кодексу України)</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Сплачена 25.12.2024 р.</w:t>
            </w:r>
          </w:p>
        </w:tc>
      </w:tr>
    </w:tbl>
    <w:p w:rsidR="00875D57" w:rsidRPr="00875D57" w:rsidRDefault="00875D57" w:rsidP="00875D57">
      <w:pPr>
        <w:spacing w:after="0" w:line="240" w:lineRule="auto"/>
        <w:rPr>
          <w:rFonts w:ascii="Times New Roman" w:hAnsi="Times New Roman"/>
          <w:sz w:val="24"/>
          <w:szCs w:val="24"/>
        </w:rPr>
      </w:pPr>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3" w:name="10086"/>
      <w:bookmarkStart w:id="4" w:name="_Toc212450068"/>
      <w:bookmarkEnd w:id="3"/>
      <w:r w:rsidRPr="00875D57">
        <w:rPr>
          <w:rFonts w:ascii="Times New Roman" w:hAnsi="Times New Roman"/>
          <w:b/>
          <w:bCs/>
          <w:kern w:val="28"/>
          <w:sz w:val="26"/>
          <w:szCs w:val="26"/>
        </w:rPr>
        <w:t>2. Органи управління та посадові особи. Організаційна структура</w:t>
      </w:r>
      <w:bookmarkEnd w:id="4"/>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75D57">
        <w:rPr>
          <w:rFonts w:ascii="Times New Roman" w:hAnsi="Times New Roman"/>
          <w:b/>
          <w:color w:val="000000"/>
          <w:sz w:val="24"/>
          <w:szCs w:val="24"/>
        </w:rPr>
        <w:t>Органи управління</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875D57" w:rsidRPr="00875D57" w:rsidTr="00073F6D">
        <w:tc>
          <w:tcPr>
            <w:tcW w:w="70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Персональний склад органу управління (контролю)</w:t>
            </w:r>
          </w:p>
        </w:tc>
      </w:tr>
      <w:tr w:rsidR="00875D57" w:rsidRPr="00875D57" w:rsidTr="00073F6D">
        <w:tc>
          <w:tcPr>
            <w:tcW w:w="70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75D57">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75D57">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75D57">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875D57">
              <w:rPr>
                <w:rFonts w:ascii="Times New Roman" w:hAnsi="Times New Roman"/>
                <w:b/>
                <w:color w:val="000000"/>
                <w:sz w:val="20"/>
                <w:szCs w:val="20"/>
                <w:lang w:val="en-US"/>
              </w:rPr>
              <w:t>4</w:t>
            </w:r>
          </w:p>
        </w:tc>
      </w:tr>
      <w:tr w:rsidR="00875D57" w:rsidRPr="00875D57" w:rsidTr="00073F6D">
        <w:tc>
          <w:tcPr>
            <w:tcW w:w="70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Загальні збори Учасників Товариства</w:t>
            </w:r>
          </w:p>
        </w:tc>
        <w:tc>
          <w:tcPr>
            <w:tcW w:w="26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Учасники або уповноважені представники учасників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ТОВАРИСТВО З ОБМЕЖЕНОЮ ВІДПОВІДАЛЬНІСТЮ "ІНВЕСТ ДІЛ ГРУП" (код ЄДРПОУ 43044931)</w:t>
            </w:r>
          </w:p>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875D57" w:rsidRPr="00875D57" w:rsidTr="00073F6D">
        <w:tc>
          <w:tcPr>
            <w:tcW w:w="70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Мороз Олександр Тимофійович</w:t>
            </w:r>
          </w:p>
        </w:tc>
      </w:tr>
    </w:tbl>
    <w:p w:rsidR="00875D57" w:rsidRPr="00875D57" w:rsidRDefault="00875D57" w:rsidP="00875D57">
      <w:pPr>
        <w:spacing w:after="0" w:line="240" w:lineRule="auto"/>
        <w:ind w:right="173"/>
        <w:rPr>
          <w:rFonts w:ascii="Times New Roman" w:hAnsi="Times New Roman"/>
          <w:sz w:val="24"/>
          <w:szCs w:val="24"/>
        </w:rPr>
      </w:pPr>
    </w:p>
    <w:p w:rsidR="00875D57" w:rsidRPr="00875D57" w:rsidRDefault="00875D57" w:rsidP="00875D57">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875D57">
        <w:rPr>
          <w:rFonts w:ascii="Times New Roman" w:hAnsi="Times New Roman"/>
          <w:b/>
          <w:bCs/>
          <w:color w:val="000000"/>
          <w:sz w:val="24"/>
          <w:szCs w:val="24"/>
        </w:rPr>
        <w:t>Інформація щодо посадових осіб</w:t>
      </w:r>
    </w:p>
    <w:p w:rsidR="00875D57" w:rsidRPr="00875D57" w:rsidRDefault="00875D57" w:rsidP="00875D5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75D57">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75D57" w:rsidRPr="00875D57" w:rsidTr="00073F6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tabs>
                <w:tab w:val="left" w:pos="214"/>
              </w:tabs>
              <w:spacing w:after="0" w:line="240" w:lineRule="auto"/>
              <w:jc w:val="center"/>
              <w:rPr>
                <w:rFonts w:ascii="Times New Roman" w:hAnsi="Times New Roman"/>
                <w:b/>
                <w:bCs/>
                <w:sz w:val="20"/>
                <w:szCs w:val="20"/>
              </w:rPr>
            </w:pPr>
            <w:r w:rsidRPr="00875D5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rPr>
                <w:rFonts w:ascii="Times New Roman" w:hAnsi="Times New Roman"/>
                <w:b/>
                <w:bCs/>
                <w:sz w:val="20"/>
                <w:szCs w:val="20"/>
              </w:rPr>
            </w:pPr>
            <w:r w:rsidRPr="00875D5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sz w:val="20"/>
                <w:szCs w:val="20"/>
                <w:lang w:val="ru-RU"/>
              </w:rPr>
            </w:pPr>
            <w:r w:rsidRPr="00875D57">
              <w:rPr>
                <w:rFonts w:ascii="Times New Roman" w:hAnsi="Times New Roman"/>
                <w:b/>
                <w:sz w:val="20"/>
                <w:szCs w:val="20"/>
              </w:rPr>
              <w:t>Повне найменування, ідентифікаційний код юридичної особи</w:t>
            </w:r>
            <w:r w:rsidRPr="00875D57">
              <w:rPr>
                <w:rFonts w:ascii="Times New Roman" w:hAnsi="Times New Roman"/>
                <w:b/>
                <w:sz w:val="20"/>
                <w:szCs w:val="20"/>
                <w:lang w:val="ru-RU"/>
              </w:rPr>
              <w:t xml:space="preserve"> </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та посада(и), яку(і) займав(є) за</w:t>
            </w:r>
            <w:r w:rsidRPr="00875D57">
              <w:rPr>
                <w:rFonts w:ascii="Times New Roman" w:hAnsi="Times New Roman"/>
                <w:b/>
                <w:sz w:val="20"/>
                <w:szCs w:val="20"/>
                <w:lang w:val="ru-RU"/>
              </w:rPr>
              <w:t xml:space="preserve"> </w:t>
            </w:r>
            <w:r w:rsidRPr="00875D57">
              <w:rPr>
                <w:rFonts w:ascii="Times New Roman" w:hAnsi="Times New Roman"/>
                <w:b/>
                <w:sz w:val="20"/>
                <w:szCs w:val="20"/>
              </w:rPr>
              <w:t>останні</w:t>
            </w:r>
            <w:r w:rsidRPr="00875D57">
              <w:rPr>
                <w:rFonts w:ascii="Times New Roman" w:hAnsi="Times New Roman"/>
                <w:b/>
                <w:sz w:val="20"/>
                <w:szCs w:val="20"/>
                <w:lang w:val="ru-RU"/>
              </w:rPr>
              <w:t xml:space="preserve"> </w:t>
            </w:r>
            <w:r w:rsidRPr="00875D57">
              <w:rPr>
                <w:rFonts w:ascii="Times New Roman" w:hAnsi="Times New Roman"/>
                <w:b/>
                <w:sz w:val="20"/>
                <w:szCs w:val="20"/>
              </w:rPr>
              <w:t>5</w:t>
            </w:r>
            <w:r w:rsidRPr="00875D57">
              <w:rPr>
                <w:rFonts w:ascii="Times New Roman" w:hAnsi="Times New Roman"/>
                <w:b/>
                <w:sz w:val="20"/>
                <w:szCs w:val="20"/>
                <w:lang w:val="ru-RU"/>
              </w:rPr>
              <w:t xml:space="preserve"> </w:t>
            </w:r>
            <w:r w:rsidRPr="00875D5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lang w:val="ru-RU"/>
              </w:rPr>
            </w:pPr>
            <w:r w:rsidRPr="00875D57">
              <w:rPr>
                <w:rFonts w:ascii="Times New Roman" w:hAnsi="Times New Roman"/>
                <w:b/>
                <w:sz w:val="20"/>
                <w:szCs w:val="20"/>
              </w:rPr>
              <w:t>Дата набуття повноважень та строк, на</w:t>
            </w:r>
            <w:r w:rsidRPr="00875D57">
              <w:rPr>
                <w:rFonts w:ascii="Times New Roman" w:hAnsi="Times New Roman"/>
                <w:b/>
                <w:sz w:val="20"/>
                <w:szCs w:val="20"/>
                <w:lang w:val="ru-RU"/>
              </w:rPr>
              <w:t xml:space="preserve"> </w:t>
            </w:r>
            <w:r w:rsidRPr="00875D5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rPr>
            </w:pPr>
            <w:r w:rsidRPr="00875D57">
              <w:rPr>
                <w:rFonts w:ascii="Times New Roman" w:hAnsi="Times New Roman"/>
                <w:b/>
                <w:sz w:val="20"/>
                <w:szCs w:val="20"/>
              </w:rPr>
              <w:t>Непогашена судимість за корисливі та</w:t>
            </w:r>
            <w:r w:rsidRPr="00875D57">
              <w:rPr>
                <w:rFonts w:ascii="Times New Roman" w:hAnsi="Times New Roman"/>
                <w:b/>
                <w:sz w:val="20"/>
                <w:szCs w:val="20"/>
                <w:lang w:val="ru-RU"/>
              </w:rPr>
              <w:t xml:space="preserve"> </w:t>
            </w:r>
            <w:r w:rsidRPr="00875D57">
              <w:rPr>
                <w:rFonts w:ascii="Times New Roman" w:hAnsi="Times New Roman"/>
                <w:b/>
                <w:sz w:val="20"/>
                <w:szCs w:val="20"/>
              </w:rPr>
              <w:t xml:space="preserve">посадові злочини </w:t>
            </w:r>
            <w:r w:rsidRPr="00875D57">
              <w:rPr>
                <w:rFonts w:ascii="Times New Roman" w:hAnsi="Times New Roman"/>
                <w:b/>
                <w:sz w:val="20"/>
                <w:szCs w:val="20"/>
              </w:rPr>
              <w:br/>
              <w:t>(Так/Ні)</w:t>
            </w:r>
          </w:p>
        </w:tc>
      </w:tr>
      <w:tr w:rsidR="00875D57" w:rsidRPr="00875D57" w:rsidTr="00073F6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11</w:t>
            </w:r>
          </w:p>
        </w:tc>
      </w:tr>
    </w:tbl>
    <w:p w:rsidR="00875D57" w:rsidRPr="00875D57" w:rsidRDefault="00875D57" w:rsidP="00875D57">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875D57" w:rsidRPr="00875D57" w:rsidRDefault="00875D57" w:rsidP="00875D57">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875D57">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75D57" w:rsidRPr="00875D57" w:rsidTr="00073F6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tabs>
                <w:tab w:val="left" w:pos="214"/>
              </w:tabs>
              <w:spacing w:after="0" w:line="240" w:lineRule="auto"/>
              <w:jc w:val="center"/>
              <w:rPr>
                <w:rFonts w:ascii="Times New Roman" w:hAnsi="Times New Roman"/>
                <w:b/>
                <w:bCs/>
                <w:sz w:val="20"/>
                <w:szCs w:val="20"/>
              </w:rPr>
            </w:pPr>
            <w:r w:rsidRPr="00875D5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rPr>
                <w:rFonts w:ascii="Times New Roman" w:hAnsi="Times New Roman"/>
                <w:b/>
                <w:bCs/>
                <w:sz w:val="20"/>
                <w:szCs w:val="20"/>
              </w:rPr>
            </w:pPr>
            <w:r w:rsidRPr="00875D5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sz w:val="20"/>
                <w:szCs w:val="20"/>
                <w:lang w:val="ru-RU"/>
              </w:rPr>
            </w:pPr>
            <w:r w:rsidRPr="00875D57">
              <w:rPr>
                <w:rFonts w:ascii="Times New Roman" w:hAnsi="Times New Roman"/>
                <w:b/>
                <w:sz w:val="20"/>
                <w:szCs w:val="20"/>
              </w:rPr>
              <w:t>Повне найменування, ідентифікаційний код юридичної особи</w:t>
            </w:r>
            <w:r w:rsidRPr="00875D57">
              <w:rPr>
                <w:rFonts w:ascii="Times New Roman" w:hAnsi="Times New Roman"/>
                <w:b/>
                <w:sz w:val="20"/>
                <w:szCs w:val="20"/>
                <w:lang w:val="ru-RU"/>
              </w:rPr>
              <w:t xml:space="preserve"> </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та посада(и), яку(і) займав(є) за</w:t>
            </w:r>
            <w:r w:rsidRPr="00875D57">
              <w:rPr>
                <w:rFonts w:ascii="Times New Roman" w:hAnsi="Times New Roman"/>
                <w:b/>
                <w:sz w:val="20"/>
                <w:szCs w:val="20"/>
                <w:lang w:val="ru-RU"/>
              </w:rPr>
              <w:t xml:space="preserve"> </w:t>
            </w:r>
            <w:r w:rsidRPr="00875D57">
              <w:rPr>
                <w:rFonts w:ascii="Times New Roman" w:hAnsi="Times New Roman"/>
                <w:b/>
                <w:sz w:val="20"/>
                <w:szCs w:val="20"/>
              </w:rPr>
              <w:t>останні</w:t>
            </w:r>
            <w:r w:rsidRPr="00875D57">
              <w:rPr>
                <w:rFonts w:ascii="Times New Roman" w:hAnsi="Times New Roman"/>
                <w:b/>
                <w:sz w:val="20"/>
                <w:szCs w:val="20"/>
                <w:lang w:val="ru-RU"/>
              </w:rPr>
              <w:t xml:space="preserve"> </w:t>
            </w:r>
            <w:r w:rsidRPr="00875D57">
              <w:rPr>
                <w:rFonts w:ascii="Times New Roman" w:hAnsi="Times New Roman"/>
                <w:b/>
                <w:sz w:val="20"/>
                <w:szCs w:val="20"/>
              </w:rPr>
              <w:t>5</w:t>
            </w:r>
            <w:r w:rsidRPr="00875D57">
              <w:rPr>
                <w:rFonts w:ascii="Times New Roman" w:hAnsi="Times New Roman"/>
                <w:b/>
                <w:sz w:val="20"/>
                <w:szCs w:val="20"/>
                <w:lang w:val="ru-RU"/>
              </w:rPr>
              <w:t xml:space="preserve"> </w:t>
            </w:r>
            <w:r w:rsidRPr="00875D5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lang w:val="ru-RU"/>
              </w:rPr>
            </w:pPr>
            <w:r w:rsidRPr="00875D57">
              <w:rPr>
                <w:rFonts w:ascii="Times New Roman" w:hAnsi="Times New Roman"/>
                <w:b/>
                <w:sz w:val="20"/>
                <w:szCs w:val="20"/>
              </w:rPr>
              <w:t>Дата набуття повноважень та строк, на</w:t>
            </w:r>
            <w:r w:rsidRPr="00875D57">
              <w:rPr>
                <w:rFonts w:ascii="Times New Roman" w:hAnsi="Times New Roman"/>
                <w:b/>
                <w:sz w:val="20"/>
                <w:szCs w:val="20"/>
                <w:lang w:val="ru-RU"/>
              </w:rPr>
              <w:t xml:space="preserve"> </w:t>
            </w:r>
            <w:r w:rsidRPr="00875D5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rPr>
            </w:pPr>
            <w:r w:rsidRPr="00875D57">
              <w:rPr>
                <w:rFonts w:ascii="Times New Roman" w:hAnsi="Times New Roman"/>
                <w:b/>
                <w:sz w:val="20"/>
                <w:szCs w:val="20"/>
              </w:rPr>
              <w:t>Непогашена судимість за корисливі та</w:t>
            </w:r>
            <w:r w:rsidRPr="00875D57">
              <w:rPr>
                <w:rFonts w:ascii="Times New Roman" w:hAnsi="Times New Roman"/>
                <w:b/>
                <w:sz w:val="20"/>
                <w:szCs w:val="20"/>
                <w:lang w:val="ru-RU"/>
              </w:rPr>
              <w:t xml:space="preserve"> </w:t>
            </w:r>
            <w:r w:rsidRPr="00875D57">
              <w:rPr>
                <w:rFonts w:ascii="Times New Roman" w:hAnsi="Times New Roman"/>
                <w:b/>
                <w:sz w:val="20"/>
                <w:szCs w:val="20"/>
              </w:rPr>
              <w:t xml:space="preserve">посадові злочини </w:t>
            </w:r>
            <w:r w:rsidRPr="00875D57">
              <w:rPr>
                <w:rFonts w:ascii="Times New Roman" w:hAnsi="Times New Roman"/>
                <w:b/>
                <w:sz w:val="20"/>
                <w:szCs w:val="20"/>
              </w:rPr>
              <w:br/>
              <w:t>(Так/Ні)</w:t>
            </w:r>
          </w:p>
        </w:tc>
      </w:tr>
      <w:tr w:rsidR="00875D57" w:rsidRPr="00875D57" w:rsidTr="00073F6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11</w:t>
            </w:r>
          </w:p>
        </w:tc>
      </w:tr>
      <w:tr w:rsidR="00875D57" w:rsidRPr="00875D57" w:rsidTr="00073F6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Мороз Олександр Тимофійович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1975</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28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ТОВ "ФК "А-ФІНАНС"</w:t>
            </w:r>
          </w:p>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43064717</w:t>
            </w:r>
          </w:p>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10.06.2020</w:t>
            </w:r>
          </w:p>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Безстроково</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Ні</w:t>
            </w:r>
          </w:p>
        </w:tc>
      </w:tr>
    </w:tbl>
    <w:p w:rsidR="00875D57" w:rsidRPr="00875D57" w:rsidRDefault="00875D57" w:rsidP="00875D57">
      <w:pPr>
        <w:spacing w:after="0" w:line="240" w:lineRule="auto"/>
        <w:rPr>
          <w:rFonts w:ascii="Times New Roman" w:hAnsi="Times New Roman"/>
          <w:sz w:val="24"/>
          <w:szCs w:val="24"/>
          <w:lang w:val="en-US"/>
        </w:rPr>
      </w:pPr>
    </w:p>
    <w:p w:rsidR="00875D57" w:rsidRPr="00875D57" w:rsidRDefault="00875D57" w:rsidP="00875D57">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875D57">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875D57" w:rsidRPr="00875D57" w:rsidTr="00073F6D">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tabs>
                <w:tab w:val="left" w:pos="214"/>
              </w:tabs>
              <w:spacing w:after="0" w:line="240" w:lineRule="auto"/>
              <w:jc w:val="center"/>
              <w:rPr>
                <w:rFonts w:ascii="Times New Roman" w:hAnsi="Times New Roman"/>
                <w:b/>
                <w:bCs/>
                <w:sz w:val="20"/>
                <w:szCs w:val="20"/>
              </w:rPr>
            </w:pPr>
            <w:r w:rsidRPr="00875D57">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rPr>
                <w:rFonts w:ascii="Times New Roman" w:hAnsi="Times New Roman"/>
                <w:b/>
                <w:bCs/>
                <w:sz w:val="20"/>
                <w:szCs w:val="20"/>
              </w:rPr>
            </w:pPr>
            <w:r w:rsidRPr="00875D57">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sz w:val="20"/>
                <w:szCs w:val="20"/>
                <w:lang w:val="ru-RU"/>
              </w:rPr>
            </w:pPr>
            <w:r w:rsidRPr="00875D57">
              <w:rPr>
                <w:rFonts w:ascii="Times New Roman" w:hAnsi="Times New Roman"/>
                <w:b/>
                <w:sz w:val="20"/>
                <w:szCs w:val="20"/>
              </w:rPr>
              <w:t>Повне найменування, ідентифікаційний код юридичної особи</w:t>
            </w:r>
            <w:r w:rsidRPr="00875D57">
              <w:rPr>
                <w:rFonts w:ascii="Times New Roman" w:hAnsi="Times New Roman"/>
                <w:b/>
                <w:sz w:val="20"/>
                <w:szCs w:val="20"/>
                <w:lang w:val="ru-RU"/>
              </w:rPr>
              <w:t xml:space="preserve"> </w:t>
            </w:r>
          </w:p>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та посада(и), яку(і) займав(є) за</w:t>
            </w:r>
            <w:r w:rsidRPr="00875D57">
              <w:rPr>
                <w:rFonts w:ascii="Times New Roman" w:hAnsi="Times New Roman"/>
                <w:b/>
                <w:sz w:val="20"/>
                <w:szCs w:val="20"/>
                <w:lang w:val="ru-RU"/>
              </w:rPr>
              <w:t xml:space="preserve"> </w:t>
            </w:r>
            <w:r w:rsidRPr="00875D57">
              <w:rPr>
                <w:rFonts w:ascii="Times New Roman" w:hAnsi="Times New Roman"/>
                <w:b/>
                <w:sz w:val="20"/>
                <w:szCs w:val="20"/>
              </w:rPr>
              <w:t>останні</w:t>
            </w:r>
            <w:r w:rsidRPr="00875D57">
              <w:rPr>
                <w:rFonts w:ascii="Times New Roman" w:hAnsi="Times New Roman"/>
                <w:b/>
                <w:sz w:val="20"/>
                <w:szCs w:val="20"/>
                <w:lang w:val="ru-RU"/>
              </w:rPr>
              <w:t xml:space="preserve"> </w:t>
            </w:r>
            <w:r w:rsidRPr="00875D57">
              <w:rPr>
                <w:rFonts w:ascii="Times New Roman" w:hAnsi="Times New Roman"/>
                <w:b/>
                <w:sz w:val="20"/>
                <w:szCs w:val="20"/>
              </w:rPr>
              <w:t>5</w:t>
            </w:r>
            <w:r w:rsidRPr="00875D57">
              <w:rPr>
                <w:rFonts w:ascii="Times New Roman" w:hAnsi="Times New Roman"/>
                <w:b/>
                <w:sz w:val="20"/>
                <w:szCs w:val="20"/>
                <w:lang w:val="ru-RU"/>
              </w:rPr>
              <w:t xml:space="preserve"> </w:t>
            </w:r>
            <w:r w:rsidRPr="00875D57">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lang w:val="ru-RU"/>
              </w:rPr>
            </w:pPr>
            <w:r w:rsidRPr="00875D57">
              <w:rPr>
                <w:rFonts w:ascii="Times New Roman" w:hAnsi="Times New Roman"/>
                <w:b/>
                <w:sz w:val="20"/>
                <w:szCs w:val="20"/>
              </w:rPr>
              <w:t>Дата набуття повноважень та строк, на</w:t>
            </w:r>
            <w:r w:rsidRPr="00875D57">
              <w:rPr>
                <w:rFonts w:ascii="Times New Roman" w:hAnsi="Times New Roman"/>
                <w:b/>
                <w:sz w:val="20"/>
                <w:szCs w:val="20"/>
                <w:lang w:val="ru-RU"/>
              </w:rPr>
              <w:t xml:space="preserve"> </w:t>
            </w:r>
            <w:r w:rsidRPr="00875D57">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875D57" w:rsidRPr="00875D57" w:rsidRDefault="00875D57" w:rsidP="00875D57">
            <w:pPr>
              <w:spacing w:after="0" w:line="240" w:lineRule="auto"/>
              <w:ind w:left="-15"/>
              <w:jc w:val="center"/>
              <w:rPr>
                <w:rFonts w:ascii="Times New Roman" w:hAnsi="Times New Roman"/>
                <w:b/>
                <w:bCs/>
                <w:sz w:val="20"/>
                <w:szCs w:val="20"/>
              </w:rPr>
            </w:pPr>
            <w:r w:rsidRPr="00875D57">
              <w:rPr>
                <w:rFonts w:ascii="Times New Roman" w:hAnsi="Times New Roman"/>
                <w:b/>
                <w:sz w:val="20"/>
                <w:szCs w:val="20"/>
              </w:rPr>
              <w:t>Непогашена судимість за корисливі та</w:t>
            </w:r>
            <w:r w:rsidRPr="00875D57">
              <w:rPr>
                <w:rFonts w:ascii="Times New Roman" w:hAnsi="Times New Roman"/>
                <w:b/>
                <w:sz w:val="20"/>
                <w:szCs w:val="20"/>
                <w:lang w:val="ru-RU"/>
              </w:rPr>
              <w:t xml:space="preserve"> </w:t>
            </w:r>
            <w:r w:rsidRPr="00875D57">
              <w:rPr>
                <w:rFonts w:ascii="Times New Roman" w:hAnsi="Times New Roman"/>
                <w:b/>
                <w:sz w:val="20"/>
                <w:szCs w:val="20"/>
              </w:rPr>
              <w:t xml:space="preserve">посадові злочини </w:t>
            </w:r>
            <w:r w:rsidRPr="00875D57">
              <w:rPr>
                <w:rFonts w:ascii="Times New Roman" w:hAnsi="Times New Roman"/>
                <w:b/>
                <w:sz w:val="20"/>
                <w:szCs w:val="20"/>
              </w:rPr>
              <w:br/>
              <w:t>(Так/Ні)</w:t>
            </w:r>
          </w:p>
        </w:tc>
      </w:tr>
      <w:tr w:rsidR="00875D57" w:rsidRPr="00875D57" w:rsidTr="00073F6D">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11</w:t>
            </w:r>
          </w:p>
        </w:tc>
      </w:tr>
    </w:tbl>
    <w:p w:rsidR="00875D57" w:rsidRPr="00875D57" w:rsidRDefault="00875D57" w:rsidP="00875D57">
      <w:pPr>
        <w:spacing w:after="0" w:line="240" w:lineRule="auto"/>
        <w:rPr>
          <w:rFonts w:ascii="Times New Roman" w:hAnsi="Times New Roman"/>
          <w:sz w:val="24"/>
          <w:szCs w:val="24"/>
          <w:lang w:val="en-US"/>
        </w:rPr>
      </w:pPr>
    </w:p>
    <w:p w:rsidR="00875D57" w:rsidRPr="00875D57" w:rsidRDefault="00875D57" w:rsidP="00875D57">
      <w:pPr>
        <w:spacing w:after="0" w:line="240" w:lineRule="auto"/>
        <w:rPr>
          <w:rFonts w:ascii="Times New Roman" w:hAnsi="Times New Roman"/>
          <w:sz w:val="24"/>
          <w:szCs w:val="24"/>
          <w:lang w:val="en-US"/>
        </w:rPr>
      </w:pPr>
    </w:p>
    <w:p w:rsidR="00875D57" w:rsidRDefault="00875D57">
      <w:pPr>
        <w:sectPr w:rsidR="00875D57" w:rsidSect="00875D57">
          <w:pgSz w:w="16838" w:h="11906" w:orient="landscape"/>
          <w:pgMar w:top="567" w:right="363" w:bottom="567" w:left="363" w:header="709" w:footer="709" w:gutter="0"/>
          <w:cols w:space="708"/>
          <w:docGrid w:linePitch="360"/>
        </w:sectPr>
      </w:pP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875D57">
        <w:rPr>
          <w:rFonts w:ascii="Times New Roman" w:hAnsi="Times New Roman"/>
          <w:b/>
          <w:bCs/>
          <w:color w:val="000000"/>
          <w:sz w:val="24"/>
          <w:szCs w:val="24"/>
        </w:rPr>
        <w:lastRenderedPageBreak/>
        <w:t>Організаційна структура:</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875D57">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875D57">
        <w:rPr>
          <w:rFonts w:ascii="Times New Roman" w:hAnsi="Times New Roman"/>
          <w:color w:val="000000"/>
          <w:sz w:val="20"/>
          <w:szCs w:val="20"/>
          <w:lang w:val="ru-RU"/>
        </w:rPr>
        <w:t>:</w:t>
      </w:r>
    </w:p>
    <w:p w:rsidR="00875D57" w:rsidRPr="00875D57" w:rsidRDefault="00875D57" w:rsidP="00875D57">
      <w:pPr>
        <w:spacing w:after="0" w:line="240" w:lineRule="auto"/>
        <w:jc w:val="center"/>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https://a-finance.in.ua/publichna-informatsiia/</w:t>
      </w:r>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5" w:name="_Toc212450069"/>
      <w:r w:rsidRPr="00875D57">
        <w:rPr>
          <w:rFonts w:ascii="Times New Roman" w:hAnsi="Times New Roman"/>
          <w:b/>
          <w:bCs/>
          <w:kern w:val="28"/>
          <w:sz w:val="26"/>
          <w:szCs w:val="26"/>
          <w:lang w:val="ru-RU"/>
        </w:rPr>
        <w:t xml:space="preserve">3. </w:t>
      </w:r>
      <w:r w:rsidRPr="00875D57">
        <w:rPr>
          <w:rFonts w:ascii="Times New Roman" w:hAnsi="Times New Roman"/>
          <w:b/>
          <w:bCs/>
          <w:kern w:val="28"/>
          <w:sz w:val="26"/>
          <w:szCs w:val="26"/>
        </w:rPr>
        <w:t>Структура власності</w:t>
      </w:r>
      <w:bookmarkEnd w:id="5"/>
    </w:p>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875D57">
        <w:rPr>
          <w:rFonts w:ascii="Times New Roman" w:hAnsi="Times New Roman"/>
          <w:sz w:val="20"/>
          <w:szCs w:val="20"/>
          <w:lang w:val="ru-RU"/>
        </w:rPr>
        <w:t xml:space="preserve"> :</w:t>
      </w:r>
    </w:p>
    <w:p w:rsidR="00875D57" w:rsidRPr="00875D57" w:rsidRDefault="00875D57" w:rsidP="00875D57">
      <w:pPr>
        <w:spacing w:after="0" w:line="240" w:lineRule="auto"/>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https://a-finance.in.ua/publichna-informatsiia/</w:t>
      </w:r>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6" w:name="_Toc212450070"/>
      <w:r w:rsidRPr="00875D57">
        <w:rPr>
          <w:rFonts w:ascii="Times New Roman" w:hAnsi="Times New Roman"/>
          <w:b/>
          <w:bCs/>
          <w:kern w:val="28"/>
          <w:sz w:val="26"/>
          <w:szCs w:val="26"/>
          <w:lang w:val="ru-RU"/>
        </w:rPr>
        <w:t xml:space="preserve">4. </w:t>
      </w:r>
      <w:r w:rsidRPr="00875D57">
        <w:rPr>
          <w:rFonts w:ascii="Times New Roman" w:hAnsi="Times New Roman"/>
          <w:b/>
          <w:bCs/>
          <w:kern w:val="28"/>
          <w:sz w:val="26"/>
          <w:szCs w:val="26"/>
        </w:rPr>
        <w:t>Опис господарської та фінансової діяльності</w:t>
      </w:r>
      <w:bookmarkEnd w:id="6"/>
    </w:p>
    <w:p w:rsidR="00875D57" w:rsidRPr="00875D57" w:rsidRDefault="00875D57" w:rsidP="00875D57">
      <w:pPr>
        <w:spacing w:after="0" w:line="240" w:lineRule="auto"/>
        <w:jc w:val="center"/>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Зазначається інформація щодо опису діяльності особи, яка, зокрема, повинна включати таку інформацію: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Емітент не належить до будь-яких об'єднань підприємств.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Спільну діяльність з іншими організаціями, підприємствами, установами емітент не проводить.</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Метод нарахування амортизації: прямолiнiйний метод. Метод оцінки вартості запасів: на звітну дату, за меншою із двох величин - собівартістю або чистою вартістю реалізації товарів, що будуть продані окремо. Метод обліку та оцінки вартості фінансових інвестицій: за справедливою вартістю, плюс або мінус витрати на операцію, що можуть бути безпосередньо віднесені на придбання фінансового активу.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Опис обраної політики щодо фінансування діяльності емітента: за рахунок власних коштів та залучені кошти (кредити банків і фінустанов, випуск власних облігацій під 16% річних). Достатність робочого капіталу для поточних потреб: достатньо. Можливі шляхи покращення ліквідності за оцінками фахівців емітента: не проводились.</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 Опис політики щодо досліджень та розробок, сума витрат на дослідження та розробку за звітний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 Інформація щодо продуктів (товарів або послуг) особи: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 опис продуктів (товарів та/або послуг), які виробляє/надає особа: надання послуг фінансового лізингу, факторингу та надання коштів та банківських металів в кредит.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обсяги виробництва (у натуральному та грошовому виразі):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3) середньореалізаційні ціни продуктів: не зазначається, оскільки особа є фінансовою установою.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 загальна сума виручки: 436705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 загальна сума експорту, частка експорту в загальному обсязі продажів: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 залежність від сезонних змін: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 основні клієнти (більше 5 % у загальній сумі виручки):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8) ринки збуту та країни, в яких особою здійснюється діяльність: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 канали збуту: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10) основні постачальники та види товарів та/або послуг, які вони постачають/надають особі, країни з яких здійснюється постачання/надання товарів/послуг: не зазначається, оскільки особа є фінансовою установою.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11) особливості стану розвитку галузі, в якій здійснює діяльність особа: Поступове зростання обсягів лізингових операцій попри економічні виклики, зокрема пов'язані з війною, фінансовий лізинг демонструє тенденцію до зростання. Попит на лізинг зростає в аграрному секторі, логістиці, ІТ та серед малих і середніх підприємств (МСП), які шукають альтернативи банківському кредитуванню.  Фінансовий лізинг в Україні - перспективний інструмент фінансування, який поступово зміцнюється, попри загальноекономічні виклики. Його подальший </w:t>
      </w:r>
      <w:r w:rsidRPr="00875D57">
        <w:rPr>
          <w:rFonts w:ascii="Times New Roman" w:hAnsi="Times New Roman"/>
          <w:sz w:val="20"/>
          <w:szCs w:val="20"/>
          <w:lang w:val="en-US"/>
        </w:rPr>
        <w:lastRenderedPageBreak/>
        <w:t>розвиток залежить від макроекономічної стабільності, державної підтримки, а також інституційного розвитку лізингових компаній і довіри з боку бізнесу.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12) опис технологій, які використовує особа у своїй діяльності: Товариство не займається виробництвом, тому опис технологій не наводиться.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13) місце особи на ринку, на якому вона здійснює діяльність: Товариство сходить в ТОП 5 в сегменті авто в лізинг на вживані ТЗ.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14) рівень конкуренція в галузі, основні конкуренти особи: ринок фінансового лізингу в Україні має середній рівень конкуренції, з високою концентрацією в руках кількох гравців. Однак у нішах малого бізнесу та споживчого автолізингу конкуренція зростає через цифрові інновації, міжнародне фінансування та запити на доступне фінансування. Основні конкуренти: ТОВ “УЛФ-ФІНАНС”, ТОВ “АВЕНТУС ЛІЗИНГ”.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15) перспективні плани розвитку особи: підтримання здатності продовжувати безперервну діяльність, ТОП - 3 в сегменті авто в лізинг на вживані ТЗ.</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8. Опис ризиків, як притаманні діяльності особи, підходи до управління ризиками, заходи особи щодо зменшення впливу ризиків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Ризики притаманні діяльності Товариства: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 операційний ризик;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комплаєнс-ризик;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кредитний ризик;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 ризик ліквідності.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Система управління ризиками Товариства,   включає в  себе: виявлення, оцінку, моніторинг, контроль і пом'якшення ризиків. Для цього Товариство використовує різні методи управління ризиками, які поділяються на якісні та кількісні підходи, а саме: методи ідентифікації ризиків, методи оцінки ризиків, методи моніторингу ризиків, методи контролю ризиків, методи пом'якшення ризиків.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Для зменшення впливу ризиків Товариство   впроваджує механізми контролю та диверсифікації.</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Стратегія подальшої діяльності щонайменше на рік не передбачає розширення виробництва, реконструкції.  Метою Товариства є реально оцінити інвестиційні можливості підприємства, забезпечити максимальне використання його внутрішнього інвестиційного потенціалу і можливість активного маневрування інвестиційними ресурсами: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 зростання вартості власного внутрішнього капіталу;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 забезпечення високих темпів зростання доходів;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 оптимізація співвідношень власного і позичкового капіталу;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 вдосконалення структури капіталу підприємства;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 оптимізація витрат та збільшення доходів.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враховуючи вплив військової агресії на діяльність здатне продовжувати свою діяльність на безперервній основі. Крім того, продовжує існувати значна невизначеність щодо розвитку військового вторгнення Росії на територію України, його тривалості та відповідно впливу на діяльність, її персонал, ліквідність та збереження активів.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Придбано основних активів за останні 5 років - 650 тис. грн. Відчудження основних активiв за останнi 5 рокiв не відбувалось. Планiв щодо значних iнвестицiй або придбань, повязаних з господарською дiяльнiстю, Товариство не має.</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Основні засоби знаходяться за місцезнаходженням Товариства: 01042, місто Київ, БУЛЬВАР МАРІЇ ПРИЙМАЧЕНКО, будинок 1/27, офіс 304/6. Основнi засоби емiтента знаходяться в задовiльному станi. Товариство не орендує основнi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в цiлому задовiльняють потреби пiдприємства. Ступiнь використання обладнання 100%. Спосіб утримання активів: утримання активiв відбувається за рахунок власних коштів Товариства. Екологічні питання, що можуть позначитися на використанні активів підприємства, відсутні. Планів капітального будівництва, розширення або удосконалення основних засобів, Товариство немає.</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12. Проблеми, які впливають на діяльність особи, в тому числі ступінь залежності від законодавчих або економічних обмежень.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Iстотними проблемами, що впливають на дiяльнiсть емiтента, є несвоєчаснi розрахунки замовникiв за надані послуги, частi змiни та неврегульованiсть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Ступiнь залежностi вiд законодавчих або економiчних обмежень оцiнюється як високий.</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кінець звітного періоду Товариство не має укладених, але ще не виконаних договорів (контрактів).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Середньооблікова чисельність штатних працівників облікового складу 28 осіб; середня чисельність позаштатних працівників 0 осіб ;середня чисельність осіб,які працюють  за сумісництвом 3 особи; чисельність працівників, які працюють  на умовах неповного робочого часу (дня, тижня) 3 особи. Фонд оплати  праці у 2024 році склав 3651,3 тис. грн. В порівнянні з 2023 р. збільшився  на 2042,2 тис. 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15.Будь-які пропозиції щодо реорганізації з боку третіх осіб, що мали місце протягом звітного періоду, умови та результати цих пропозицій.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Будь-яких пропозицiй щодо реорганiзацiї Товариства з боку третiх осiб протягом звiтного перiоду не надходило.</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16. Інша інформація, яка може бути істотною для оцінки стейкхолдерами фінансового стану та результатів діяльності особи.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ru-RU"/>
        </w:rPr>
      </w:pPr>
    </w:p>
    <w:p w:rsidR="00875D57" w:rsidRDefault="00875D57">
      <w:pPr>
        <w:sectPr w:rsidR="00875D57" w:rsidSect="00875D57">
          <w:pgSz w:w="11906" w:h="16838"/>
          <w:pgMar w:top="363" w:right="567" w:bottom="363" w:left="1417" w:header="709" w:footer="709" w:gutter="0"/>
          <w:cols w:space="708"/>
          <w:docGrid w:linePitch="360"/>
        </w:sectPr>
      </w:pPr>
    </w:p>
    <w:tbl>
      <w:tblPr>
        <w:tblW w:w="15480" w:type="dxa"/>
        <w:tblInd w:w="240" w:type="dxa"/>
        <w:tblCellMar>
          <w:top w:w="15" w:type="dxa"/>
          <w:left w:w="15" w:type="dxa"/>
          <w:bottom w:w="15" w:type="dxa"/>
          <w:right w:w="15" w:type="dxa"/>
        </w:tblCellMar>
        <w:tblLook w:val="0000" w:firstRow="0" w:lastRow="0" w:firstColumn="0" w:lastColumn="0" w:noHBand="0" w:noVBand="0"/>
      </w:tblPr>
      <w:tblGrid>
        <w:gridCol w:w="15480"/>
      </w:tblGrid>
      <w:tr w:rsidR="00875D57" w:rsidRPr="00875D57" w:rsidTr="00073F6D">
        <w:tc>
          <w:tcPr>
            <w:tcW w:w="15480" w:type="dxa"/>
            <w:tcMar>
              <w:top w:w="60" w:type="dxa"/>
              <w:left w:w="60" w:type="dxa"/>
              <w:bottom w:w="60" w:type="dxa"/>
              <w:right w:w="60" w:type="dxa"/>
            </w:tcMar>
            <w:vAlign w:val="center"/>
          </w:tcPr>
          <w:p w:rsidR="00875D57" w:rsidRPr="00875D57" w:rsidRDefault="00875D57" w:rsidP="00875D57">
            <w:pPr>
              <w:widowControl w:val="0"/>
              <w:tabs>
                <w:tab w:val="right" w:pos="7710"/>
                <w:tab w:val="right" w:pos="11514"/>
              </w:tabs>
              <w:suppressAutoHyphens/>
              <w:autoSpaceDE w:val="0"/>
              <w:autoSpaceDN w:val="0"/>
              <w:adjustRightInd w:val="0"/>
              <w:spacing w:before="113" w:after="0" w:line="257" w:lineRule="auto"/>
              <w:jc w:val="center"/>
              <w:textAlignment w:val="center"/>
              <w:rPr>
                <w:rFonts w:ascii="Pragmatica-Book" w:hAnsi="Pragmatica-Book" w:cs="Pragmatica-Book"/>
                <w:b/>
                <w:bCs/>
                <w:color w:val="000000"/>
                <w:w w:val="90"/>
                <w:sz w:val="28"/>
                <w:szCs w:val="28"/>
                <w:lang w:val="ru-RU"/>
              </w:rPr>
            </w:pPr>
            <w:r w:rsidRPr="00875D57">
              <w:rPr>
                <w:rFonts w:ascii="Times New Roman" w:hAnsi="Times New Roman"/>
                <w:b/>
                <w:color w:val="000000"/>
                <w:sz w:val="24"/>
                <w:szCs w:val="24"/>
              </w:rPr>
              <w:lastRenderedPageBreak/>
              <w:t>Інформація щодо отриманих особою ліцензій</w:t>
            </w:r>
          </w:p>
        </w:tc>
      </w:tr>
    </w:tbl>
    <w:p w:rsidR="00875D57" w:rsidRPr="00875D57" w:rsidRDefault="00875D57" w:rsidP="00875D57">
      <w:pPr>
        <w:spacing w:after="0" w:line="240" w:lineRule="auto"/>
        <w:rPr>
          <w:rFonts w:ascii="Times New Roman" w:hAnsi="Times New Roman"/>
          <w:vanish/>
          <w:color w:val="000000"/>
          <w:sz w:val="24"/>
          <w:szCs w:val="24"/>
        </w:rPr>
      </w:pPr>
    </w:p>
    <w:tbl>
      <w:tblPr>
        <w:tblW w:w="15592" w:type="dxa"/>
        <w:tblInd w:w="240" w:type="dxa"/>
        <w:tblLayout w:type="fixed"/>
        <w:tblCellMar>
          <w:top w:w="15" w:type="dxa"/>
          <w:left w:w="15" w:type="dxa"/>
          <w:bottom w:w="15" w:type="dxa"/>
          <w:right w:w="15" w:type="dxa"/>
        </w:tblCellMar>
        <w:tblLook w:val="0000" w:firstRow="0" w:lastRow="0" w:firstColumn="0" w:lastColumn="0" w:noHBand="0" w:noVBand="0"/>
      </w:tblPr>
      <w:tblGrid>
        <w:gridCol w:w="4040"/>
        <w:gridCol w:w="2393"/>
        <w:gridCol w:w="1649"/>
        <w:gridCol w:w="5746"/>
        <w:gridCol w:w="1764"/>
      </w:tblGrid>
      <w:tr w:rsidR="00875D57" w:rsidRPr="00875D57" w:rsidTr="00073F6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Вид діяльності</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Номер ліцензії</w:t>
            </w:r>
            <w:r w:rsidRPr="00875D57">
              <w:rPr>
                <w:rFonts w:ascii="Times New Roman" w:hAnsi="Times New Roman"/>
                <w:b/>
                <w:bCs/>
                <w:sz w:val="20"/>
                <w:szCs w:val="20"/>
                <w:lang w:val="en-US"/>
              </w:rPr>
              <w:t xml:space="preserve">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Дата видачі</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Орган державної влади, що видав ліцензію</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Дата закінчення дії ліцензії  (за наявності )</w:t>
            </w:r>
          </w:p>
        </w:tc>
      </w:tr>
      <w:tr w:rsidR="00875D57" w:rsidRPr="00875D57" w:rsidTr="00073F6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1</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2</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3</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4</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5</w:t>
            </w:r>
          </w:p>
        </w:tc>
      </w:tr>
      <w:tr w:rsidR="00875D57" w:rsidRPr="00875D57" w:rsidTr="00073F6D">
        <w:tc>
          <w:tcPr>
            <w:tcW w:w="40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діяльність фінансової компанії з правом надання послуг - фінансовий лізинг, факторинг, надання коштів та банківських металів у кредит (безстрокова)                                                                                                           </w:t>
            </w:r>
          </w:p>
        </w:tc>
        <w:tc>
          <w:tcPr>
            <w:tcW w:w="23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27-0026/22707       </w:t>
            </w:r>
          </w:p>
        </w:tc>
        <w:tc>
          <w:tcPr>
            <w:tcW w:w="164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22.03.2024</w:t>
            </w:r>
          </w:p>
        </w:tc>
        <w:tc>
          <w:tcPr>
            <w:tcW w:w="574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Національний банк України                                                                                                                                                                                                                                     </w:t>
            </w:r>
          </w:p>
        </w:tc>
        <w:tc>
          <w:tcPr>
            <w:tcW w:w="1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 </w:t>
            </w:r>
          </w:p>
        </w:tc>
      </w:tr>
    </w:tbl>
    <w:p w:rsidR="00875D57" w:rsidRPr="00875D57" w:rsidRDefault="00875D57" w:rsidP="00875D57">
      <w:pPr>
        <w:spacing w:after="0" w:line="240" w:lineRule="auto"/>
        <w:rPr>
          <w:rFonts w:ascii="Times New Roman" w:hAnsi="Times New Roman"/>
          <w:vanish/>
          <w:color w:val="000000"/>
          <w:sz w:val="24"/>
          <w:szCs w:val="24"/>
        </w:rPr>
      </w:pPr>
    </w:p>
    <w:p w:rsidR="00875D57" w:rsidRPr="00875D57" w:rsidRDefault="00875D57" w:rsidP="00875D57">
      <w:pPr>
        <w:spacing w:after="0" w:line="240" w:lineRule="auto"/>
        <w:rPr>
          <w:rFonts w:ascii="Times New Roman" w:hAnsi="Times New Roman"/>
          <w:sz w:val="24"/>
          <w:szCs w:val="24"/>
        </w:rPr>
      </w:pPr>
    </w:p>
    <w:p w:rsidR="00875D57" w:rsidRDefault="00875D57">
      <w:pPr>
        <w:sectPr w:rsidR="00875D57" w:rsidSect="00875D57">
          <w:pgSz w:w="16838" w:h="11906" w:orient="landscape"/>
          <w:pgMar w:top="567" w:right="363" w:bottom="567" w:left="363" w:header="709" w:footer="709" w:gutter="0"/>
          <w:cols w:space="708"/>
          <w:docGrid w:linePitch="360"/>
        </w:sectPr>
      </w:pPr>
    </w:p>
    <w:p w:rsidR="00875D57" w:rsidRPr="00875D57" w:rsidRDefault="00875D57" w:rsidP="00875D57">
      <w:pPr>
        <w:spacing w:after="0" w:line="240" w:lineRule="auto"/>
        <w:rPr>
          <w:rFonts w:ascii="Times New Roman" w:hAnsi="Times New Roman"/>
          <w:vanish/>
          <w:sz w:val="24"/>
          <w:szCs w:val="24"/>
        </w:rPr>
      </w:pPr>
    </w:p>
    <w:p w:rsidR="00875D57" w:rsidRPr="00875D57" w:rsidRDefault="00875D57" w:rsidP="00875D57">
      <w:pPr>
        <w:spacing w:after="0" w:line="240" w:lineRule="auto"/>
        <w:jc w:val="center"/>
        <w:rPr>
          <w:rFonts w:ascii="Times New Roman" w:hAnsi="Times New Roman"/>
          <w:vanish/>
          <w:sz w:val="24"/>
          <w:szCs w:val="24"/>
        </w:rPr>
      </w:pPr>
      <w:r w:rsidRPr="00875D57">
        <w:rPr>
          <w:rFonts w:ascii="Times New Roman" w:hAnsi="Times New Roman"/>
          <w:b/>
          <w:bCs/>
          <w:color w:val="000000"/>
          <w:sz w:val="24"/>
          <w:szCs w:val="24"/>
        </w:rPr>
        <w:t>Інформація про основні засоби емітента ( за залишковою вартістю )</w:t>
      </w:r>
    </w:p>
    <w:p w:rsidR="00875D57" w:rsidRPr="00875D57" w:rsidRDefault="00875D57" w:rsidP="00875D57">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875D57" w:rsidRPr="00875D57" w:rsidTr="00073F6D">
        <w:trPr>
          <w:trHeight w:val="461"/>
        </w:trPr>
        <w:tc>
          <w:tcPr>
            <w:tcW w:w="3090" w:type="dxa"/>
            <w:vMerge w:val="restart"/>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Власні основні засоби (тис.грн.)</w:t>
            </w:r>
          </w:p>
        </w:tc>
        <w:tc>
          <w:tcPr>
            <w:tcW w:w="2323" w:type="dxa"/>
            <w:gridSpan w:val="2"/>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Основні засоби , всього (тис.грн.)</w:t>
            </w:r>
          </w:p>
        </w:tc>
      </w:tr>
      <w:tr w:rsidR="00875D57" w:rsidRPr="00875D57" w:rsidTr="00073F6D">
        <w:trPr>
          <w:trHeight w:val="147"/>
        </w:trPr>
        <w:tc>
          <w:tcPr>
            <w:tcW w:w="3090" w:type="dxa"/>
            <w:vMerge/>
            <w:shd w:val="clear" w:color="auto" w:fill="auto"/>
          </w:tcPr>
          <w:p w:rsidR="00875D57" w:rsidRPr="00875D57" w:rsidRDefault="00875D57" w:rsidP="00875D57">
            <w:pPr>
              <w:spacing w:after="0" w:line="240" w:lineRule="auto"/>
              <w:rPr>
                <w:rFonts w:ascii="Times New Roman" w:hAnsi="Times New Roman"/>
                <w:b/>
                <w:sz w:val="20"/>
                <w:szCs w:val="20"/>
              </w:rPr>
            </w:pP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початок періоду</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кінець періоду</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початок періоду</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кінець періоду</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початок періоду</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b/>
                <w:sz w:val="20"/>
                <w:szCs w:val="20"/>
              </w:rPr>
            </w:pPr>
            <w:r w:rsidRPr="00875D57">
              <w:rPr>
                <w:rFonts w:ascii="Times New Roman" w:hAnsi="Times New Roman"/>
                <w:b/>
                <w:sz w:val="20"/>
                <w:szCs w:val="20"/>
              </w:rPr>
              <w:t>На кінець періоду</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1.Виробничого призначення</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будівлі та споруди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машини та обладнання</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транспортні засоби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земельні ділянки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інші</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2. Невиробничого призначення</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будівлі та споруди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машини та обладнання</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транспортні засоби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земельні ділянки</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lang w:val="en-US"/>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lang w:val="en-US"/>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xml:space="preserve">- </w:t>
            </w:r>
            <w:r w:rsidRPr="00875D57">
              <w:rPr>
                <w:rFonts w:ascii="Times New Roman" w:hAnsi="Times New Roman"/>
                <w:b/>
                <w:sz w:val="20"/>
                <w:szCs w:val="20"/>
                <w:lang w:val="en-US"/>
              </w:rPr>
              <w:t>ін</w:t>
            </w:r>
            <w:r w:rsidRPr="00875D57">
              <w:rPr>
                <w:rFonts w:ascii="Times New Roman" w:hAnsi="Times New Roman"/>
                <w:b/>
                <w:sz w:val="20"/>
                <w:szCs w:val="20"/>
                <w:lang w:val="ru-UA"/>
              </w:rPr>
              <w:t>в</w:t>
            </w:r>
            <w:r w:rsidRPr="00875D57">
              <w:rPr>
                <w:rFonts w:ascii="Times New Roman" w:hAnsi="Times New Roman"/>
                <w:b/>
                <w:sz w:val="20"/>
                <w:szCs w:val="20"/>
                <w:lang w:val="en-US"/>
              </w:rPr>
              <w:t>естиційна нерухомість</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lang w:val="en-US"/>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інші</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r>
      <w:tr w:rsidR="00875D57" w:rsidRPr="00875D57" w:rsidTr="00073F6D">
        <w:trPr>
          <w:trHeight w:val="346"/>
        </w:trPr>
        <w:tc>
          <w:tcPr>
            <w:tcW w:w="3090" w:type="dxa"/>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Усього</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en-US"/>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c>
          <w:tcPr>
            <w:tcW w:w="1161"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0.000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68.000</w:t>
            </w:r>
          </w:p>
        </w:tc>
        <w:tc>
          <w:tcPr>
            <w:tcW w:w="1162" w:type="dxa"/>
            <w:shd w:val="clear" w:color="auto" w:fill="auto"/>
            <w:vAlign w:val="center"/>
          </w:tcPr>
          <w:p w:rsidR="00875D57" w:rsidRPr="00875D57" w:rsidRDefault="00875D57" w:rsidP="00875D57">
            <w:pPr>
              <w:spacing w:after="0" w:line="240" w:lineRule="auto"/>
              <w:jc w:val="center"/>
              <w:rPr>
                <w:rFonts w:ascii="Times New Roman" w:hAnsi="Times New Roman"/>
                <w:sz w:val="20"/>
                <w:szCs w:val="20"/>
              </w:rPr>
            </w:pPr>
            <w:r w:rsidRPr="00875D57">
              <w:rPr>
                <w:rFonts w:ascii="Times New Roman" w:hAnsi="Times New Roman"/>
                <w:sz w:val="20"/>
                <w:szCs w:val="20"/>
              </w:rPr>
              <w:t>354.000</w:t>
            </w:r>
          </w:p>
        </w:tc>
      </w:tr>
    </w:tbl>
    <w:p w:rsidR="00875D57" w:rsidRPr="00875D57" w:rsidRDefault="00875D57" w:rsidP="00875D57">
      <w:pPr>
        <w:spacing w:after="0" w:line="240" w:lineRule="auto"/>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b/>
          <w:sz w:val="20"/>
          <w:szCs w:val="20"/>
        </w:rPr>
        <w:t xml:space="preserve">Пояснення : </w:t>
      </w:r>
      <w:r w:rsidRPr="00875D57">
        <w:rPr>
          <w:rFonts w:ascii="Times New Roman" w:hAnsi="Times New Roman"/>
          <w:b/>
          <w:sz w:val="20"/>
          <w:szCs w:val="20"/>
          <w:lang w:val="en-US"/>
        </w:rPr>
        <w:t xml:space="preserve"> </w:t>
      </w:r>
      <w:r w:rsidRPr="00875D57">
        <w:rPr>
          <w:rFonts w:ascii="Times New Roman" w:hAnsi="Times New Roman"/>
          <w:sz w:val="20"/>
          <w:szCs w:val="20"/>
          <w:lang w:val="ru-RU"/>
        </w:rPr>
        <w:t>Терміни використання ОЗ (за основними групами): інші - 5 років. Умови користування основними засобами за всiма групами задовiльнi. Основнi засоби за усіма групами використовуються за призначенням за основним видом дiяльностi. Первісна вартість основних на початок звітнього періоду - 102 тис. грн., на кінець - 650 тис.грн. Ступінь зносу основних засобів на початок звітного періоду 33,33%, на кінець звітного періоду 45,54%. Ступінь використання основних засобів 100%. Сума нарахованого зносу на початок звітного періоду - 34 тис. грн., на кінець звітного періоду - 296 тис.грн. Орендованих примiщень та майна товариства немає. Обмеження на використання майна емітента відсутні. Суттєві змiни у вартостi основних засобiв зумовлені придбанням основних засобів.</w:t>
      </w:r>
    </w:p>
    <w:tbl>
      <w:tblPr>
        <w:tblW w:w="9828" w:type="dxa"/>
        <w:tblLook w:val="01E0" w:firstRow="1" w:lastRow="1" w:firstColumn="1" w:lastColumn="1" w:noHBand="0" w:noVBand="0"/>
      </w:tblPr>
      <w:tblGrid>
        <w:gridCol w:w="1252"/>
        <w:gridCol w:w="3438"/>
        <w:gridCol w:w="2571"/>
        <w:gridCol w:w="2567"/>
      </w:tblGrid>
      <w:tr w:rsidR="00875D57" w:rsidRPr="00875D57" w:rsidTr="00073F6D">
        <w:trPr>
          <w:trHeight w:val="244"/>
        </w:trPr>
        <w:tc>
          <w:tcPr>
            <w:tcW w:w="9828" w:type="dxa"/>
            <w:gridSpan w:val="4"/>
            <w:shd w:val="clear" w:color="auto" w:fill="auto"/>
          </w:tcPr>
          <w:p w:rsidR="00875D57" w:rsidRPr="00875D57" w:rsidRDefault="00875D57" w:rsidP="00875D57">
            <w:pPr>
              <w:spacing w:after="0" w:line="240" w:lineRule="auto"/>
              <w:jc w:val="center"/>
              <w:rPr>
                <w:rFonts w:ascii="Times New Roman" w:hAnsi="Times New Roman"/>
                <w:b/>
                <w:bCs/>
                <w:color w:val="000000"/>
                <w:sz w:val="24"/>
                <w:szCs w:val="24"/>
              </w:rPr>
            </w:pPr>
            <w:r w:rsidRPr="00875D57">
              <w:rPr>
                <w:rFonts w:ascii="Times New Roman" w:hAnsi="Times New Roman"/>
                <w:b/>
                <w:bCs/>
                <w:color w:val="000000"/>
                <w:sz w:val="24"/>
                <w:szCs w:val="24"/>
              </w:rPr>
              <w:t>Інформація щодо вартості чистих активів емітента</w:t>
            </w:r>
          </w:p>
          <w:p w:rsidR="00875D57" w:rsidRPr="00875D57" w:rsidRDefault="00875D57" w:rsidP="00875D57">
            <w:pPr>
              <w:spacing w:after="0" w:line="240" w:lineRule="auto"/>
              <w:rPr>
                <w:rFonts w:ascii="Times New Roman" w:hAnsi="Times New Roman"/>
                <w:sz w:val="24"/>
                <w:szCs w:val="24"/>
              </w:rPr>
            </w:pPr>
          </w:p>
        </w:tc>
      </w:tr>
      <w:tr w:rsidR="00875D57" w:rsidRPr="00875D57" w:rsidTr="00073F6D">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lang w:val="ru-RU"/>
              </w:rPr>
              <w:t>Найменування показника</w:t>
            </w:r>
            <w:r w:rsidRPr="00875D57">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b/>
                <w:sz w:val="20"/>
                <w:szCs w:val="20"/>
                <w:lang w:val="ru-RU"/>
              </w:rPr>
            </w:pPr>
            <w:r w:rsidRPr="00875D57">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b/>
                <w:sz w:val="20"/>
                <w:szCs w:val="20"/>
                <w:lang w:val="ru-RU"/>
              </w:rPr>
            </w:pPr>
            <w:r w:rsidRPr="00875D57">
              <w:rPr>
                <w:rFonts w:ascii="Times New Roman" w:hAnsi="Times New Roman"/>
                <w:b/>
                <w:sz w:val="20"/>
                <w:szCs w:val="20"/>
                <w:lang w:val="ru-RU"/>
              </w:rPr>
              <w:t>За попередній період</w:t>
            </w:r>
          </w:p>
        </w:tc>
      </w:tr>
      <w:tr w:rsidR="00875D57" w:rsidRPr="00875D57" w:rsidTr="00073F6D">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28346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7834</w:t>
            </w:r>
          </w:p>
        </w:tc>
      </w:tr>
      <w:tr w:rsidR="00875D57" w:rsidRPr="00875D57" w:rsidTr="00073F6D">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5096</w:t>
            </w:r>
          </w:p>
        </w:tc>
      </w:tr>
      <w:tr w:rsidR="00875D57" w:rsidRPr="00875D57" w:rsidTr="00073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18896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5096</w:t>
            </w:r>
          </w:p>
        </w:tc>
      </w:tr>
      <w:tr w:rsidR="00875D57" w:rsidRPr="00875D57" w:rsidTr="00073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150.011</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153.728</w:t>
            </w:r>
          </w:p>
        </w:tc>
      </w:tr>
      <w:tr w:rsidR="00875D57" w:rsidRPr="00875D57" w:rsidTr="00073F6D">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361.833</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875D57" w:rsidRPr="00875D57" w:rsidRDefault="00875D57" w:rsidP="00875D57">
            <w:pPr>
              <w:spacing w:after="0" w:line="240" w:lineRule="auto"/>
              <w:jc w:val="center"/>
              <w:rPr>
                <w:rFonts w:ascii="Times New Roman" w:hAnsi="Times New Roman"/>
                <w:sz w:val="20"/>
                <w:szCs w:val="20"/>
                <w:lang w:val="ru-RU"/>
              </w:rPr>
            </w:pPr>
            <w:r w:rsidRPr="00875D57">
              <w:rPr>
                <w:rFonts w:ascii="Times New Roman" w:hAnsi="Times New Roman"/>
                <w:sz w:val="20"/>
                <w:szCs w:val="20"/>
                <w:lang w:val="en-US"/>
              </w:rPr>
              <w:t>126.457</w:t>
            </w:r>
          </w:p>
        </w:tc>
      </w:tr>
      <w:tr w:rsidR="00875D57" w:rsidRPr="00875D57" w:rsidTr="00073F6D">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875D57" w:rsidRPr="00875D57" w:rsidRDefault="00875D57" w:rsidP="00875D57">
            <w:pPr>
              <w:spacing w:after="0" w:line="240" w:lineRule="auto"/>
              <w:rPr>
                <w:rFonts w:ascii="Times New Roman" w:hAnsi="Times New Roman"/>
                <w:b/>
                <w:sz w:val="20"/>
                <w:szCs w:val="20"/>
                <w:lang w:val="ru-RU"/>
              </w:rPr>
            </w:pPr>
            <w:r w:rsidRPr="00875D57">
              <w:rPr>
                <w:rFonts w:ascii="Times New Roman" w:hAnsi="Times New Roman"/>
                <w:b/>
                <w:sz w:val="20"/>
                <w:szCs w:val="20"/>
                <w:lang w:val="ru-RU"/>
              </w:rPr>
              <w:t>Додаткова інформ</w:t>
            </w:r>
            <w:r w:rsidRPr="00875D57">
              <w:rPr>
                <w:rFonts w:ascii="Times New Roman" w:hAnsi="Times New Roman"/>
                <w:b/>
                <w:sz w:val="20"/>
                <w:szCs w:val="20"/>
                <w:lang w:val="ru-UA"/>
              </w:rPr>
              <w:t>а</w:t>
            </w:r>
            <w:r w:rsidRPr="00875D57">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Розрахунок вартості чистих активів відбувався відповідно до пункту 2 статті 16 Закону України "Про акціонерні товариства" № 2465-IX від 27.07.2022 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w:t>
            </w:r>
            <w:r w:rsidRPr="00875D57">
              <w:rPr>
                <w:rFonts w:ascii="Times New Roman" w:hAnsi="Times New Roman"/>
                <w:sz w:val="20"/>
                <w:szCs w:val="20"/>
                <w:lang w:val="en-US"/>
              </w:rPr>
              <w:t xml:space="preserve">ринку від 17.11.2004 р. N485 (з урахуванням змін показників фінансової звітності).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Співвідношення чистих активів на кінець звітного періоду (28346.000 тис.грн. ) до статутного капіталу на кінець звітного періоду (18896.000 тис.грн. ) - 150.0110000%.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Співвідношення чистих активів на кінець звітного періоду (28346.000 тис.грн. ) до чистих активів  на кінець попереднього періоду (7834.0 тис.грн. ) - 361.8330000%.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Вимоги п.2 ст. 16 Закону України "Про акціонерні товариства" дотримуються.</w:t>
            </w:r>
          </w:p>
        </w:tc>
      </w:tr>
    </w:tbl>
    <w:p w:rsidR="00875D57" w:rsidRPr="00875D57" w:rsidRDefault="00875D57" w:rsidP="00875D57">
      <w:pPr>
        <w:spacing w:after="0" w:line="240" w:lineRule="auto"/>
        <w:rPr>
          <w:rFonts w:ascii="Times New Roman" w:hAnsi="Times New Roman"/>
          <w:sz w:val="24"/>
          <w:szCs w:val="24"/>
          <w:lang w:val="ru-RU"/>
        </w:rPr>
      </w:pPr>
    </w:p>
    <w:p w:rsidR="00875D57" w:rsidRPr="00875D57" w:rsidRDefault="00875D57" w:rsidP="00875D57">
      <w:pPr>
        <w:spacing w:after="0" w:line="240" w:lineRule="auto"/>
        <w:jc w:val="center"/>
        <w:rPr>
          <w:rFonts w:ascii="Times New Roman" w:hAnsi="Times New Roman"/>
          <w:b/>
          <w:sz w:val="24"/>
          <w:szCs w:val="24"/>
        </w:rPr>
      </w:pPr>
      <w:r w:rsidRPr="00875D57">
        <w:rPr>
          <w:rFonts w:ascii="Times New Roman" w:hAnsi="Times New Roman"/>
          <w:b/>
          <w:sz w:val="24"/>
          <w:szCs w:val="24"/>
          <w:lang w:val="ru-RU"/>
        </w:rPr>
        <w:t>Інформація про зобов'язання та забезпечення емітента</w:t>
      </w:r>
    </w:p>
    <w:p w:rsidR="00875D57" w:rsidRPr="00875D57" w:rsidRDefault="00875D57" w:rsidP="00875D57">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jc w:val="center"/>
              <w:rPr>
                <w:rFonts w:ascii="Times New Roman" w:hAnsi="Times New Roman"/>
                <w:b/>
                <w:bCs/>
                <w:sz w:val="20"/>
                <w:szCs w:val="20"/>
              </w:rPr>
            </w:pPr>
            <w:r w:rsidRPr="00875D57">
              <w:rPr>
                <w:rFonts w:ascii="Times New Roman" w:hAnsi="Times New Roman"/>
                <w:b/>
                <w:bCs/>
                <w:sz w:val="20"/>
                <w:szCs w:val="20"/>
              </w:rPr>
              <w:t>Види зобов’</w:t>
            </w:r>
            <w:r w:rsidRPr="00875D57">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Дата погашення</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117152.00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r w:rsidRPr="00875D57">
              <w:rPr>
                <w:rFonts w:ascii="Times New Roman" w:hAnsi="Times New Roman"/>
                <w:bCs/>
                <w:sz w:val="20"/>
                <w:szCs w:val="20"/>
              </w:rPr>
              <w:t>Кредитний договір №141-10626/24-РНК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22.11.2024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24665.00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19.750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13.05.2028</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r w:rsidRPr="00875D57">
              <w:rPr>
                <w:rFonts w:ascii="Times New Roman" w:hAnsi="Times New Roman"/>
                <w:bCs/>
                <w:sz w:val="20"/>
                <w:szCs w:val="20"/>
              </w:rPr>
              <w:t>Кредитний договір №34-10626/23-РНК</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13.10.2023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17947.00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9.000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09.11.2026</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r w:rsidRPr="00875D57">
              <w:rPr>
                <w:rFonts w:ascii="Times New Roman" w:hAnsi="Times New Roman"/>
                <w:bCs/>
                <w:sz w:val="20"/>
                <w:szCs w:val="20"/>
              </w:rPr>
              <w:t>Кредитний Договір №05/10/22-01Л</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05.10.2022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55043.00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25.000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05.10.2025</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r w:rsidRPr="00875D57">
              <w:rPr>
                <w:rFonts w:ascii="Times New Roman" w:hAnsi="Times New Roman"/>
                <w:bCs/>
                <w:sz w:val="20"/>
                <w:szCs w:val="20"/>
              </w:rPr>
              <w:t>Кредитний Договір № К-93/24</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16.10.2024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19497.00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21.000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15.10.2029</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r w:rsidRPr="00875D57">
              <w:rPr>
                <w:rFonts w:ascii="Times New Roman" w:hAnsi="Times New Roman"/>
                <w:bCs/>
                <w:sz w:val="20"/>
                <w:szCs w:val="20"/>
              </w:rPr>
              <w:t>Відсоткові іменні облігації Серія А Реєстрація випуску №37/2/2024 від 19.11.2024р.</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12.12.2024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35000.00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16.000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05.12.2027</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173.00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57555.00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27922.00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д/н</w:t>
            </w:r>
          </w:p>
        </w:tc>
      </w:tr>
      <w:tr w:rsidR="00875D57" w:rsidRPr="00875D57" w:rsidTr="00073F6D">
        <w:tc>
          <w:tcPr>
            <w:tcW w:w="4494"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rPr>
                <w:rFonts w:ascii="Times New Roman" w:hAnsi="Times New Roman"/>
                <w:b/>
                <w:bCs/>
                <w:sz w:val="20"/>
                <w:szCs w:val="20"/>
              </w:rPr>
            </w:pPr>
            <w:r w:rsidRPr="00875D57">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237802.00</w:t>
            </w:r>
          </w:p>
        </w:tc>
        <w:tc>
          <w:tcPr>
            <w:tcW w:w="165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Х</w:t>
            </w:r>
          </w:p>
        </w:tc>
      </w:tr>
    </w:tbl>
    <w:p w:rsidR="00875D57" w:rsidRPr="00875D57" w:rsidRDefault="00875D57" w:rsidP="00875D57">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875D57" w:rsidRPr="00875D57" w:rsidTr="00073F6D">
        <w:tc>
          <w:tcPr>
            <w:tcW w:w="9720" w:type="dxa"/>
            <w:tcMar>
              <w:top w:w="60" w:type="dxa"/>
              <w:left w:w="60" w:type="dxa"/>
              <w:bottom w:w="60" w:type="dxa"/>
              <w:right w:w="60" w:type="dxa"/>
            </w:tcMar>
            <w:vAlign w:val="center"/>
          </w:tcPr>
          <w:p w:rsidR="00875D57" w:rsidRPr="00875D57" w:rsidRDefault="00875D57" w:rsidP="00875D57">
            <w:pPr>
              <w:spacing w:after="0" w:line="240" w:lineRule="auto"/>
              <w:ind w:left="-210"/>
              <w:jc w:val="center"/>
              <w:rPr>
                <w:rFonts w:ascii="Times New Roman" w:hAnsi="Times New Roman"/>
                <w:b/>
                <w:bCs/>
                <w:sz w:val="24"/>
                <w:szCs w:val="24"/>
              </w:rPr>
            </w:pPr>
            <w:r w:rsidRPr="00875D57">
              <w:rPr>
                <w:rFonts w:ascii="Times New Roman" w:hAnsi="Times New Roman"/>
                <w:b/>
                <w:color w:val="000000"/>
                <w:sz w:val="24"/>
                <w:szCs w:val="24"/>
              </w:rPr>
              <w:t>Інформація про осіб, послугами яких користується емітент</w:t>
            </w:r>
          </w:p>
        </w:tc>
      </w:tr>
    </w:tbl>
    <w:p w:rsidR="00875D57" w:rsidRPr="00875D57" w:rsidRDefault="00875D57" w:rsidP="00875D57">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Публічне акціонерне товариство "Національний депозитарій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Публiчне акцiонерне товариство</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30370711</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04107 УКРАЇНА  д/н м.Київ вул.Тропініна, 7-г</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Рішення № 2092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lastRenderedPageBreak/>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НКЦПФР</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01.10.2013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 363-04-00</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63.11   ОБРОБЛЕННЯ ДАНИХ, РОЗМІЩЕННЯ ІНФОРМАЦІЇ НА ВЕБ-ВУЗЛАХ І ПОВ'ЯЗАНА З НИМИ ДІЯЛЬНІСТЬ</w:t>
            </w:r>
          </w:p>
          <w:p w:rsidR="00875D57" w:rsidRPr="00875D57" w:rsidRDefault="00875D57" w:rsidP="00875D57">
            <w:pPr>
              <w:rPr>
                <w:rFonts w:ascii="Times New Roman" w:hAnsi="Times New Roman"/>
                <w:szCs w:val="24"/>
              </w:rPr>
            </w:pPr>
            <w:r w:rsidRPr="00875D57">
              <w:rPr>
                <w:rFonts w:ascii="Times New Roman" w:hAnsi="Times New Roman"/>
                <w:szCs w:val="24"/>
              </w:rPr>
              <w:t>18.20   ТИРАЖУВАННЯ ЗВУКО-, ВІДЕОЗАПИСІВ І ПРОГРАМНОГО ЗАБЕЗПЕЧЕННЯ</w:t>
            </w:r>
          </w:p>
          <w:p w:rsidR="00875D57" w:rsidRPr="00875D57" w:rsidRDefault="00875D57" w:rsidP="00875D57">
            <w:pPr>
              <w:rPr>
                <w:rFonts w:ascii="Times New Roman" w:hAnsi="Times New Roman"/>
                <w:szCs w:val="24"/>
              </w:rPr>
            </w:pPr>
            <w:r w:rsidRPr="00875D57">
              <w:rPr>
                <w:rFonts w:ascii="Times New Roman" w:hAnsi="Times New Roman"/>
                <w:szCs w:val="24"/>
              </w:rPr>
              <w:t>62.01   КОМП'ЮТЕРНЕ ПРОГРАМУВАННЯ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Депозитарна діяльність центрального депозитарію</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ДУ "Агентство з розвитку інфраструктури фондового ринку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Державна органiзацiя (установа, заклад)</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21676262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03150 УКРАЇНА  д/н м.Київ вул.Антоновича, 51, оф. 1206</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DR/00002/ARM</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НКЦПФР</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18.02.2019</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 287-56-70</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63.11   ОБРОБЛЕННЯ ДАНИХ, РОЗМІЩЕННЯ ІНФОРМАЦІЇ НА ВЕБ-ВУЗЛАХ І ПОВ'ЯЗАНА З НИМИ ДІЯЛЬНІСТЬ</w:t>
            </w:r>
          </w:p>
          <w:p w:rsidR="00875D57" w:rsidRPr="00875D57" w:rsidRDefault="00875D57" w:rsidP="00875D57">
            <w:pPr>
              <w:rPr>
                <w:rFonts w:ascii="Times New Roman" w:hAnsi="Times New Roman"/>
                <w:szCs w:val="24"/>
              </w:rPr>
            </w:pPr>
            <w:r w:rsidRPr="00875D57">
              <w:rPr>
                <w:rFonts w:ascii="Times New Roman" w:hAnsi="Times New Roman"/>
                <w:szCs w:val="24"/>
              </w:rPr>
              <w:t>84.13   РЕГУЛЮВАННЯ ТА СПРИЯННЯ ЕФЕКТИВНОМУ ВЕДЕННЮ ЕКОНОМІЧНОЇ ДІЯЛЬНОСТІ</w:t>
            </w:r>
          </w:p>
          <w:p w:rsidR="00875D57" w:rsidRPr="00875D57" w:rsidRDefault="00875D57" w:rsidP="00875D57">
            <w:pPr>
              <w:rPr>
                <w:rFonts w:ascii="Times New Roman" w:hAnsi="Times New Roman"/>
                <w:szCs w:val="24"/>
              </w:rPr>
            </w:pPr>
            <w:r w:rsidRPr="00875D57">
              <w:rPr>
                <w:rFonts w:ascii="Times New Roman" w:hAnsi="Times New Roman"/>
                <w:szCs w:val="24"/>
              </w:rPr>
              <w:t>62.02   КОНСУЛЬТУВАННЯ З ПИТАНЬ ІНФОРМАТИЗАЦІЇ</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Діяльність з подання звітності та/або адміністративних даних до НКЦПФР</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ВІДПОВІДАЛЬНІСТЮ "АУДИТ КОНСАЛТИНГ ГРУП"</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вiдповiдальнiстю</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35316245</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03134 УКРАЇНА  д/н м.  Київ ВУЛ.СИМИРЕНКА, будинок 26-А, квартира 88</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д/н</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д/н</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0505463802; 0444585343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lastRenderedPageBreak/>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69.20   ДІЯЛЬНІСТЬ У СФЕРІ БУХГАЛТЕРСЬКОГО ОБЛІКУ Й АУДИТУ; КОНСУЛЬТУВАННЯ З ПИТАНЬ ОПОДАТКУВАННЯ</w:t>
            </w:r>
          </w:p>
          <w:p w:rsidR="00875D57" w:rsidRPr="00875D57" w:rsidRDefault="00875D57" w:rsidP="00875D57">
            <w:pPr>
              <w:rPr>
                <w:rFonts w:ascii="Times New Roman" w:hAnsi="Times New Roman"/>
                <w:szCs w:val="24"/>
              </w:rPr>
            </w:pPr>
            <w:r w:rsidRPr="00875D57">
              <w:rPr>
                <w:rFonts w:ascii="Times New Roman" w:hAnsi="Times New Roman"/>
                <w:szCs w:val="24"/>
              </w:rPr>
              <w:t>70.22   КОНСУЛЬТУВАННЯ З ПИТАНЬ КОМЕРЦІЙНОЇ ДІЯЛЬНОСТІ Й КЕРУВАННЯ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Консультаційні послуги</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ВІДПОВІДАЛЬНІСТЮ "АУДИТОРСЬКА ФІРМА "КВОЛІТІ АУДИТ"</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вiдповiдальнiстю</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33304128</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03035 УКРАЇНА  д/н м. Київ вул.Солом'янська, буд. 1</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3509</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Аудиторська Палата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17.12.2004</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0965687380</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69.20   ДІЯЛЬНІСТЬ У СФЕРІ БУХГАЛТЕРСЬКОГО ОБЛІКУ Й АУДИТУ; КОНСУЛЬТУВАННЯ З ПИТАНЬ ОПОДАТКУВАННЯ</w:t>
            </w:r>
          </w:p>
          <w:p w:rsidR="00875D57" w:rsidRPr="00875D57" w:rsidRDefault="00875D57" w:rsidP="00875D57">
            <w:pPr>
              <w:rPr>
                <w:rFonts w:ascii="Times New Roman" w:hAnsi="Times New Roman"/>
                <w:szCs w:val="24"/>
              </w:rPr>
            </w:pPr>
            <w:r w:rsidRPr="00875D57">
              <w:rPr>
                <w:rFonts w:ascii="Times New Roman" w:hAnsi="Times New Roman"/>
                <w:szCs w:val="24"/>
              </w:rPr>
              <w:t>62.02   КОНСУЛЬТУВАННЯ З ПИТАНЬ ІНФОРМАТИЗАЦІЇ</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Аудиторські  послуги</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ТОВАРИСТВА З ДОДАТКОВОЮ ВІДПОВІДАЛЬНІСТЮ “СТРАХОВА КОМПАНІЯ “ГАРДІАН”</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додатковою вiдповiдальнiстю</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39417298</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01032 УКРАЇНА  д/н м. Київ вулиця Саксаганського, буд.96</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27-0024/33313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Національний банк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30.04.2024</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(050)-311-76-42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65.12   ІНШІ ВИДИ СТРАХУВАННЯ, КРІМ СТРАХУВАННЯ ЖИТТЯ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Страхування</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0"/>
        <w:gridCol w:w="6582"/>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ПРИВАТНЕ АКЦІОНЕРНЕ ТОВАРИСТВО "СТРАХОВА КОМПАНІЯ "АРСЕНАЛ СТРАХУВАННЯ"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lastRenderedPageBreak/>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Приватне акцiонерне товариство</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33908322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03056 УКРАЇНА  д/н м. Київ вул. БОРЩАГІВСЬКА, буд.154</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27-0024/32803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Національний банк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30.04.2024</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0445026737; 0445026730</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65.12   ІНШІ ВИДИ СТРАХУВАННЯ, КРІМ СТРАХУВАННЯ ЖИТТЯ</w:t>
            </w:r>
          </w:p>
          <w:p w:rsidR="00875D57" w:rsidRPr="00875D57" w:rsidRDefault="00875D57" w:rsidP="00875D57">
            <w:pPr>
              <w:rPr>
                <w:rFonts w:ascii="Times New Roman" w:hAnsi="Times New Roman"/>
                <w:szCs w:val="24"/>
              </w:rPr>
            </w:pPr>
            <w:r w:rsidRPr="00875D57">
              <w:rPr>
                <w:rFonts w:ascii="Times New Roman" w:hAnsi="Times New Roman"/>
                <w:szCs w:val="24"/>
              </w:rPr>
              <w:t>65.20   ПЕРЕСТРАХУВАННЯ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Страхування</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5"/>
        <w:gridCol w:w="6577"/>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ПРИВАТНЕ АКЦІОНЕРНЕ ТОВАРИСТВО "СТРАХОВА КОМПАНІЯ "ВУСО"</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Приватне акцiонерне товариство</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31650052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03150 УКРАЇНА  д/н м. Київ вул. КАЗИМИРА МАЛЕВИЧА, буд. 31</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27-0024/31525</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Нацональний банк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30.04.2024</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0445003773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65.12   ІНШІ ВИДИ СТРАХУВАННЯ, КРІМ СТРАХУВАННЯ ЖИТТЯ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Страхування</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ВІДПОВІДАЛЬНІСТЮ "АУДИТОРСЬКА ФІРМА "ОЛЕСЯ"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Товариство з обмеженою вiдповiдальнiстю</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22930490</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03028 УКРАЇНА  д/н м. Київ вул.Саперно-Слобідська, будинок 10, квартира 137</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4423</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Аудиторська Палата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lastRenderedPageBreak/>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19.10.2018</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 334 43 14; (050) 401 95 88</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69.20   ДІЯЛЬНІСТЬ У СФЕРІ БУХГАЛТЕРСЬКОГО ОБЛІКУ Й АУДИТУ; КОНСУЛЬТУВАННЯ З ПИТАНЬ ОПОДАТКУВАННЯ</w:t>
            </w:r>
          </w:p>
          <w:p w:rsidR="00875D57" w:rsidRPr="00875D57" w:rsidRDefault="00875D57" w:rsidP="00875D57">
            <w:pPr>
              <w:rPr>
                <w:rFonts w:ascii="Times New Roman" w:hAnsi="Times New Roman"/>
                <w:szCs w:val="24"/>
              </w:rPr>
            </w:pPr>
            <w:r w:rsidRPr="00875D57">
              <w:rPr>
                <w:rFonts w:ascii="Times New Roman" w:hAnsi="Times New Roman"/>
                <w:szCs w:val="24"/>
              </w:rPr>
              <w:t>70.22   КОНСУЛЬТУВАННЯ З ПИТАНЬ КОМЕРЦІЙНОЇ ДІЯЛЬНОСТІ Й КЕРУВАННЯ</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Аудиторські  послуги</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 xml:space="preserve">Повне найменування або ім'я </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ДУ "Агентство з розвитку інфраструктури фондового ринку України"</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РНОКПП</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УНЗР</w:t>
            </w:r>
          </w:p>
        </w:tc>
        <w:tc>
          <w:tcPr>
            <w:tcW w:w="6803" w:type="dxa"/>
            <w:shd w:val="clear" w:color="auto" w:fill="auto"/>
            <w:vAlign w:val="center"/>
          </w:tcPr>
          <w:p w:rsidR="00875D57" w:rsidRPr="00875D57" w:rsidRDefault="00875D57" w:rsidP="00875D57">
            <w:pPr>
              <w:rPr>
                <w:rFonts w:ascii="Times New Roman" w:hAnsi="Times New Roman"/>
                <w:szCs w:val="24"/>
              </w:rPr>
            </w:pP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Організаційно-правова форма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Державна органiзацiя (установа, заклад)</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Ідентифікаційний код юридичної особи</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21676262</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Місцезнаходження</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03150 УКРАЇНА  д/н м.Київ вул.Антоновича, 51, оф. 1206</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DR/00001/APA</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НКЦПФР</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Дата видачі ліцензії або іншого документа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18.02.2019</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Міжміський код та телефон</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(044) 498-38-15/16</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63.11   ОБРОБЛЕННЯ ДАНИХ, РОЗМІЩЕННЯ ІНФОРМАЦІЇ НА ВЕБ-ВУЗЛАХ І ПОВ'ЯЗАНА З НИМИ ДІЯЛЬНІСТЬ</w:t>
            </w:r>
          </w:p>
          <w:p w:rsidR="00875D57" w:rsidRPr="00875D57" w:rsidRDefault="00875D57" w:rsidP="00875D57">
            <w:pPr>
              <w:rPr>
                <w:rFonts w:ascii="Times New Roman" w:hAnsi="Times New Roman"/>
                <w:szCs w:val="24"/>
              </w:rPr>
            </w:pPr>
            <w:r w:rsidRPr="00875D57">
              <w:rPr>
                <w:rFonts w:ascii="Times New Roman" w:hAnsi="Times New Roman"/>
                <w:szCs w:val="24"/>
              </w:rPr>
              <w:t>84.13   РЕГУЛЮВАННЯ ТА СПРИЯННЯ ЕФЕКТИВНОМУ ВЕДЕННЮ ЕКОНОМІЧНОЇ ДІЯЛЬНОСТІ</w:t>
            </w:r>
          </w:p>
          <w:p w:rsidR="00875D57" w:rsidRPr="00875D57" w:rsidRDefault="00875D57" w:rsidP="00875D57">
            <w:pPr>
              <w:rPr>
                <w:rFonts w:ascii="Times New Roman" w:hAnsi="Times New Roman"/>
                <w:szCs w:val="24"/>
              </w:rPr>
            </w:pPr>
            <w:r w:rsidRPr="00875D57">
              <w:rPr>
                <w:rFonts w:ascii="Times New Roman" w:hAnsi="Times New Roman"/>
                <w:szCs w:val="24"/>
              </w:rPr>
              <w:t>62.02   КОНСУЛЬТУВАННЯ З ПИТАНЬ ІНФОРМАТИЗАЦІЇ</w:t>
            </w:r>
          </w:p>
        </w:tc>
      </w:tr>
      <w:tr w:rsidR="00875D57" w:rsidRPr="00875D57" w:rsidTr="00073F6D">
        <w:trPr>
          <w:trHeight w:val="360"/>
        </w:trPr>
        <w:tc>
          <w:tcPr>
            <w:tcW w:w="3401" w:type="dxa"/>
            <w:shd w:val="clear" w:color="auto" w:fill="auto"/>
            <w:vAlign w:val="center"/>
          </w:tcPr>
          <w:p w:rsidR="00875D57" w:rsidRPr="00875D57" w:rsidRDefault="00875D57" w:rsidP="00875D57">
            <w:pPr>
              <w:rPr>
                <w:rFonts w:ascii="Times New Roman" w:hAnsi="Times New Roman"/>
                <w:b/>
                <w:szCs w:val="24"/>
              </w:rPr>
            </w:pPr>
            <w:r w:rsidRPr="00875D57">
              <w:rPr>
                <w:rFonts w:ascii="Times New Roman" w:hAnsi="Times New Roman"/>
                <w:b/>
                <w:szCs w:val="24"/>
              </w:rPr>
              <w:t>Вид послуг, які надає особа</w:t>
            </w:r>
          </w:p>
        </w:tc>
        <w:tc>
          <w:tcPr>
            <w:tcW w:w="6803" w:type="dxa"/>
            <w:shd w:val="clear" w:color="auto" w:fill="auto"/>
            <w:vAlign w:val="center"/>
          </w:tcPr>
          <w:p w:rsidR="00875D57" w:rsidRPr="00875D57" w:rsidRDefault="00875D57" w:rsidP="00875D57">
            <w:pPr>
              <w:rPr>
                <w:rFonts w:ascii="Times New Roman" w:hAnsi="Times New Roman"/>
                <w:szCs w:val="24"/>
              </w:rPr>
            </w:pPr>
            <w:r w:rsidRPr="00875D57">
              <w:rPr>
                <w:rFonts w:ascii="Times New Roman" w:hAnsi="Times New Roman"/>
                <w:szCs w:val="24"/>
              </w:rPr>
              <w:t>Діяльність з оприлюднення регульованої інформації від імені учасників фондового ринку</w:t>
            </w:r>
          </w:p>
        </w:tc>
      </w:tr>
    </w:tbl>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p w:rsidR="00875D57" w:rsidRPr="00875D57" w:rsidRDefault="00875D57" w:rsidP="00875D57">
      <w:pPr>
        <w:spacing w:after="0" w:line="240" w:lineRule="auto"/>
        <w:rPr>
          <w:rFonts w:ascii="Times New Roman" w:hAnsi="Times New Roman"/>
          <w:sz w:val="20"/>
          <w:szCs w:val="24"/>
        </w:rPr>
      </w:pPr>
    </w:p>
    <w:p w:rsidR="00875D57" w:rsidRDefault="00875D57">
      <w:pPr>
        <w:sectPr w:rsidR="00875D57" w:rsidSect="00875D57">
          <w:pgSz w:w="11906" w:h="16838"/>
          <w:pgMar w:top="363" w:right="567" w:bottom="363" w:left="1417" w:header="709" w:footer="709" w:gutter="0"/>
          <w:cols w:space="708"/>
          <w:docGrid w:linePitch="360"/>
        </w:sectPr>
      </w:pPr>
    </w:p>
    <w:p w:rsidR="00875D57" w:rsidRPr="00875D57" w:rsidRDefault="00875D57" w:rsidP="00875D57">
      <w:pPr>
        <w:spacing w:after="60" w:line="240" w:lineRule="auto"/>
        <w:jc w:val="center"/>
        <w:outlineLvl w:val="0"/>
        <w:rPr>
          <w:rFonts w:ascii="Times New Roman" w:hAnsi="Times New Roman"/>
          <w:b/>
          <w:bCs/>
          <w:kern w:val="28"/>
          <w:sz w:val="28"/>
          <w:szCs w:val="28"/>
        </w:rPr>
      </w:pPr>
      <w:bookmarkStart w:id="7" w:name="_Toc212450071"/>
      <w:r w:rsidRPr="00875D57">
        <w:rPr>
          <w:rFonts w:ascii="Times New Roman" w:hAnsi="Times New Roman"/>
          <w:b/>
          <w:bCs/>
          <w:kern w:val="28"/>
          <w:sz w:val="28"/>
          <w:szCs w:val="28"/>
        </w:rPr>
        <w:lastRenderedPageBreak/>
        <w:t>II. Інформація щодо капіталу та цінних паперів</w:t>
      </w:r>
      <w:bookmarkEnd w:id="7"/>
    </w:p>
    <w:p w:rsidR="00875D57" w:rsidRPr="00875D57" w:rsidRDefault="00875D57" w:rsidP="00875D57">
      <w:pPr>
        <w:spacing w:after="0" w:line="240" w:lineRule="auto"/>
        <w:jc w:val="center"/>
        <w:outlineLvl w:val="0"/>
        <w:rPr>
          <w:rFonts w:ascii="Times New Roman" w:hAnsi="Times New Roman"/>
          <w:b/>
          <w:bCs/>
          <w:kern w:val="28"/>
          <w:sz w:val="26"/>
          <w:szCs w:val="26"/>
        </w:rPr>
      </w:pPr>
      <w:bookmarkStart w:id="8" w:name="_Toc212450072"/>
      <w:r w:rsidRPr="00875D57">
        <w:rPr>
          <w:rFonts w:ascii="Times New Roman" w:hAnsi="Times New Roman"/>
          <w:b/>
          <w:bCs/>
          <w:kern w:val="28"/>
          <w:sz w:val="26"/>
          <w:szCs w:val="26"/>
        </w:rPr>
        <w:t>3. Цінні папери</w:t>
      </w:r>
      <w:bookmarkEnd w:id="8"/>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75D57">
        <w:rPr>
          <w:rFonts w:ascii="Times New Roman" w:hAnsi="Times New Roman"/>
          <w:b/>
          <w:color w:val="000000"/>
          <w:sz w:val="24"/>
          <w:szCs w:val="24"/>
        </w:rPr>
        <w:t>Інформація про облігації</w:t>
      </w:r>
    </w:p>
    <w:p w:rsidR="00875D57" w:rsidRPr="00875D57" w:rsidRDefault="00875D57" w:rsidP="00875D57">
      <w:pPr>
        <w:widowControl w:val="0"/>
        <w:tabs>
          <w:tab w:val="right" w:pos="7710"/>
          <w:tab w:val="right" w:pos="11514"/>
        </w:tabs>
        <w:suppressAutoHyphens/>
        <w:autoSpaceDE w:val="0"/>
        <w:autoSpaceDN w:val="0"/>
        <w:adjustRightInd w:val="0"/>
        <w:spacing w:before="57" w:after="0" w:line="257" w:lineRule="auto"/>
        <w:jc w:val="center"/>
        <w:textAlignment w:val="center"/>
        <w:rPr>
          <w:rFonts w:ascii="Pragmatica-Book" w:hAnsi="Pragmatica-Book" w:cs="Pragmatica-Book"/>
          <w:vanish/>
          <w:color w:val="000000"/>
          <w:w w:val="90"/>
          <w:sz w:val="16"/>
          <w:szCs w:val="16"/>
        </w:rPr>
      </w:pPr>
    </w:p>
    <w:tbl>
      <w:tblPr>
        <w:tblW w:w="16244" w:type="dxa"/>
        <w:tblInd w:w="195" w:type="dxa"/>
        <w:tblLayout w:type="fixed"/>
        <w:tblCellMar>
          <w:top w:w="15" w:type="dxa"/>
          <w:left w:w="15" w:type="dxa"/>
          <w:bottom w:w="15" w:type="dxa"/>
          <w:right w:w="15" w:type="dxa"/>
        </w:tblCellMar>
        <w:tblLook w:val="0000" w:firstRow="0" w:lastRow="0" w:firstColumn="0" w:lastColumn="0" w:noHBand="0" w:noVBand="0"/>
      </w:tblPr>
      <w:tblGrid>
        <w:gridCol w:w="1122"/>
        <w:gridCol w:w="1392"/>
        <w:gridCol w:w="1366"/>
        <w:gridCol w:w="1540"/>
        <w:gridCol w:w="1346"/>
        <w:gridCol w:w="1327"/>
        <w:gridCol w:w="1429"/>
        <w:gridCol w:w="1247"/>
        <w:gridCol w:w="1242"/>
        <w:gridCol w:w="1134"/>
        <w:gridCol w:w="992"/>
        <w:gridCol w:w="992"/>
        <w:gridCol w:w="1115"/>
      </w:tblGrid>
      <w:tr w:rsidR="00875D57" w:rsidRPr="00875D57" w:rsidTr="00073F6D">
        <w:tc>
          <w:tcPr>
            <w:tcW w:w="112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ind w:left="180" w:hanging="180"/>
              <w:jc w:val="center"/>
              <w:rPr>
                <w:rFonts w:ascii="Times New Roman" w:hAnsi="Times New Roman"/>
                <w:b/>
                <w:bCs/>
                <w:sz w:val="20"/>
                <w:szCs w:val="20"/>
              </w:rPr>
            </w:pPr>
            <w:r w:rsidRPr="00875D57">
              <w:rPr>
                <w:rFonts w:ascii="Times New Roman" w:hAnsi="Times New Roman"/>
                <w:b/>
                <w:bCs/>
                <w:sz w:val="20"/>
                <w:szCs w:val="20"/>
              </w:rPr>
              <w:t>Дата</w:t>
            </w:r>
          </w:p>
          <w:p w:rsidR="00875D57" w:rsidRPr="00875D57" w:rsidRDefault="00875D57" w:rsidP="00875D57">
            <w:pPr>
              <w:spacing w:after="0" w:line="240" w:lineRule="auto"/>
              <w:ind w:left="180" w:hanging="180"/>
              <w:jc w:val="center"/>
              <w:rPr>
                <w:rFonts w:ascii="Times New Roman" w:hAnsi="Times New Roman"/>
                <w:b/>
                <w:bCs/>
                <w:sz w:val="20"/>
                <w:szCs w:val="20"/>
              </w:rPr>
            </w:pPr>
            <w:r w:rsidRPr="00875D57">
              <w:rPr>
                <w:rFonts w:ascii="Times New Roman" w:hAnsi="Times New Roman"/>
                <w:b/>
                <w:bCs/>
                <w:sz w:val="20"/>
                <w:szCs w:val="20"/>
              </w:rPr>
              <w:t>реєстрації</w:t>
            </w:r>
          </w:p>
          <w:p w:rsidR="00875D57" w:rsidRPr="00875D57" w:rsidRDefault="00875D57" w:rsidP="00875D57">
            <w:pPr>
              <w:spacing w:after="0" w:line="240" w:lineRule="auto"/>
              <w:ind w:left="180" w:hanging="180"/>
              <w:jc w:val="center"/>
              <w:rPr>
                <w:rFonts w:ascii="Times New Roman" w:hAnsi="Times New Roman"/>
                <w:b/>
                <w:bCs/>
                <w:sz w:val="20"/>
                <w:szCs w:val="20"/>
              </w:rPr>
            </w:pPr>
            <w:r w:rsidRPr="00875D57">
              <w:rPr>
                <w:rFonts w:ascii="Times New Roman" w:hAnsi="Times New Roman"/>
                <w:b/>
                <w:bCs/>
                <w:sz w:val="20"/>
                <w:szCs w:val="20"/>
              </w:rPr>
              <w:t>випуску</w:t>
            </w:r>
          </w:p>
        </w:tc>
        <w:tc>
          <w:tcPr>
            <w:tcW w:w="139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Номер свідоцтва про реєстрацію випуску</w:t>
            </w:r>
          </w:p>
        </w:tc>
        <w:tc>
          <w:tcPr>
            <w:tcW w:w="136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Найменування органу, що зареєстрував випуск</w:t>
            </w:r>
          </w:p>
        </w:tc>
        <w:tc>
          <w:tcPr>
            <w:tcW w:w="1540"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sz w:val="20"/>
                <w:szCs w:val="20"/>
              </w:rPr>
              <w:t>Міжнародний ідентифіка-ційний номер</w:t>
            </w:r>
          </w:p>
        </w:tc>
        <w:tc>
          <w:tcPr>
            <w:tcW w:w="134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Облігації (відсоткові, цільові, дисконтні)</w:t>
            </w:r>
          </w:p>
        </w:tc>
        <w:tc>
          <w:tcPr>
            <w:tcW w:w="1327"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Номінальна вартість (грн.)</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Кількість у випуску (штук)</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Форма існування та форма випуску</w:t>
            </w:r>
          </w:p>
        </w:tc>
        <w:tc>
          <w:tcPr>
            <w:tcW w:w="12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rPr>
              <w:t>Загальна номінальна вартість (грн.</w:t>
            </w:r>
            <w:r w:rsidRPr="00875D57">
              <w:rPr>
                <w:rFonts w:ascii="Times New Roman" w:hAnsi="Times New Roman"/>
                <w:b/>
                <w:bCs/>
                <w:sz w:val="20"/>
                <w:szCs w:val="20"/>
                <w:lang w:val="en-US"/>
              </w:rPr>
              <w:t>)</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color w:val="000000"/>
                <w:sz w:val="20"/>
                <w:szCs w:val="20"/>
              </w:rPr>
              <w:t>Процентна ставка за облігаціями (у відсотках)</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Строк виплати проценітв</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Сума виплаченого процентного доходу у звітному періоді (грн.)</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Дата погашення облігацій</w:t>
            </w:r>
          </w:p>
        </w:tc>
      </w:tr>
      <w:tr w:rsidR="00875D57" w:rsidRPr="00875D57" w:rsidTr="00073F6D">
        <w:tc>
          <w:tcPr>
            <w:tcW w:w="112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1</w:t>
            </w:r>
          </w:p>
        </w:tc>
        <w:tc>
          <w:tcPr>
            <w:tcW w:w="139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rPr>
            </w:pPr>
            <w:r w:rsidRPr="00875D57">
              <w:rPr>
                <w:rFonts w:ascii="Times New Roman" w:hAnsi="Times New Roman"/>
                <w:b/>
                <w:bCs/>
                <w:sz w:val="20"/>
                <w:szCs w:val="20"/>
              </w:rPr>
              <w:t>2</w:t>
            </w:r>
          </w:p>
        </w:tc>
        <w:tc>
          <w:tcPr>
            <w:tcW w:w="136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3</w:t>
            </w:r>
          </w:p>
        </w:tc>
        <w:tc>
          <w:tcPr>
            <w:tcW w:w="1540"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4</w:t>
            </w:r>
          </w:p>
        </w:tc>
        <w:tc>
          <w:tcPr>
            <w:tcW w:w="134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5</w:t>
            </w:r>
          </w:p>
        </w:tc>
        <w:tc>
          <w:tcPr>
            <w:tcW w:w="1327"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6</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7</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8</w:t>
            </w:r>
          </w:p>
        </w:tc>
        <w:tc>
          <w:tcPr>
            <w:tcW w:w="124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9</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lang w:val="en-US"/>
              </w:rPr>
              <w:t>10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rPr>
              <w:t>1</w:t>
            </w:r>
            <w:r w:rsidRPr="00875D57">
              <w:rPr>
                <w:rFonts w:ascii="Times New Roman" w:hAnsi="Times New Roman"/>
                <w:b/>
                <w:bCs/>
                <w:sz w:val="20"/>
                <w:szCs w:val="20"/>
                <w:lang w:val="en-US"/>
              </w:rPr>
              <w:t>1</w:t>
            </w:r>
          </w:p>
        </w:tc>
        <w:tc>
          <w:tcPr>
            <w:tcW w:w="99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rPr>
              <w:t>1</w:t>
            </w:r>
            <w:r w:rsidRPr="00875D57">
              <w:rPr>
                <w:rFonts w:ascii="Times New Roman" w:hAnsi="Times New Roman"/>
                <w:b/>
                <w:bCs/>
                <w:sz w:val="20"/>
                <w:szCs w:val="20"/>
                <w:lang w:val="en-US"/>
              </w:rPr>
              <w:t>2</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
                <w:bCs/>
                <w:sz w:val="20"/>
                <w:szCs w:val="20"/>
                <w:lang w:val="en-US"/>
              </w:rPr>
            </w:pPr>
            <w:r w:rsidRPr="00875D57">
              <w:rPr>
                <w:rFonts w:ascii="Times New Roman" w:hAnsi="Times New Roman"/>
                <w:b/>
                <w:bCs/>
                <w:sz w:val="20"/>
                <w:szCs w:val="20"/>
              </w:rPr>
              <w:t>1</w:t>
            </w:r>
            <w:r w:rsidRPr="00875D57">
              <w:rPr>
                <w:rFonts w:ascii="Times New Roman" w:hAnsi="Times New Roman"/>
                <w:b/>
                <w:bCs/>
                <w:sz w:val="20"/>
                <w:szCs w:val="20"/>
                <w:lang w:val="en-US"/>
              </w:rPr>
              <w:t>3</w:t>
            </w:r>
          </w:p>
        </w:tc>
      </w:tr>
      <w:tr w:rsidR="00875D57" w:rsidRPr="00875D57" w:rsidTr="00073F6D">
        <w:tc>
          <w:tcPr>
            <w:tcW w:w="112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19.11.2024</w:t>
            </w:r>
          </w:p>
        </w:tc>
        <w:tc>
          <w:tcPr>
            <w:tcW w:w="139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37/2/2024           </w:t>
            </w:r>
          </w:p>
        </w:tc>
        <w:tc>
          <w:tcPr>
            <w:tcW w:w="136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Національна комісія з цінних паперів та фондового ринку                                                                                                                                                                                                       </w:t>
            </w:r>
          </w:p>
        </w:tc>
        <w:tc>
          <w:tcPr>
            <w:tcW w:w="1540"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UA5000013426</w:t>
            </w:r>
          </w:p>
        </w:tc>
        <w:tc>
          <w:tcPr>
            <w:tcW w:w="1346"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Відсоткові</w:t>
            </w:r>
          </w:p>
        </w:tc>
        <w:tc>
          <w:tcPr>
            <w:tcW w:w="1327"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        1000.00</w:t>
            </w:r>
          </w:p>
        </w:tc>
        <w:tc>
          <w:tcPr>
            <w:tcW w:w="14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     60000</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Електроннi iменнi</w:t>
            </w:r>
          </w:p>
        </w:tc>
        <w:tc>
          <w:tcPr>
            <w:tcW w:w="124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60000000.00</w:t>
            </w:r>
          </w:p>
        </w:tc>
        <w:tc>
          <w:tcPr>
            <w:tcW w:w="11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lang w:val="en-US"/>
              </w:rPr>
            </w:pPr>
            <w:r w:rsidRPr="00875D57">
              <w:rPr>
                <w:rFonts w:ascii="Times New Roman" w:hAnsi="Times New Roman"/>
                <w:bCs/>
                <w:sz w:val="20"/>
                <w:szCs w:val="20"/>
                <w:lang w:val="en-US"/>
              </w:rPr>
              <w:t xml:space="preserve"> 16.000</w:t>
            </w:r>
          </w:p>
        </w:tc>
        <w:tc>
          <w:tcPr>
            <w:tcW w:w="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 xml:space="preserve">20.11.2024-10.11.2027                             </w:t>
            </w:r>
          </w:p>
        </w:tc>
        <w:tc>
          <w:tcPr>
            <w:tcW w:w="99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460250.00</w:t>
            </w:r>
          </w:p>
        </w:tc>
        <w:tc>
          <w:tcPr>
            <w:tcW w:w="11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05.12.2027</w:t>
            </w:r>
          </w:p>
        </w:tc>
      </w:tr>
      <w:tr w:rsidR="00875D57" w:rsidRPr="00875D57" w:rsidTr="00073F6D">
        <w:tc>
          <w:tcPr>
            <w:tcW w:w="1122" w:type="dxa"/>
            <w:tcBorders>
              <w:top w:val="single" w:sz="6" w:space="0" w:color="000000"/>
              <w:left w:val="single" w:sz="6" w:space="0" w:color="000000"/>
              <w:bottom w:val="single" w:sz="6" w:space="0" w:color="000000"/>
              <w:right w:val="single" w:sz="6" w:space="0" w:color="000000"/>
            </w:tcBorders>
            <w:vAlign w:val="center"/>
          </w:tcPr>
          <w:p w:rsidR="00875D57" w:rsidRPr="00875D57" w:rsidRDefault="00875D57" w:rsidP="00875D57">
            <w:pPr>
              <w:spacing w:after="0" w:line="240" w:lineRule="auto"/>
              <w:jc w:val="center"/>
              <w:rPr>
                <w:rFonts w:ascii="Times New Roman" w:hAnsi="Times New Roman"/>
                <w:bCs/>
                <w:sz w:val="20"/>
                <w:szCs w:val="20"/>
              </w:rPr>
            </w:pPr>
            <w:r w:rsidRPr="00875D57">
              <w:rPr>
                <w:rFonts w:ascii="Times New Roman" w:hAnsi="Times New Roman"/>
                <w:bCs/>
                <w:sz w:val="20"/>
                <w:szCs w:val="20"/>
              </w:rPr>
              <w:t>Опис</w:t>
            </w:r>
          </w:p>
        </w:tc>
        <w:tc>
          <w:tcPr>
            <w:tcW w:w="15122" w:type="dxa"/>
            <w:gridSpan w:val="12"/>
            <w:tcBorders>
              <w:top w:val="single" w:sz="6" w:space="0" w:color="000000"/>
              <w:left w:val="single" w:sz="6" w:space="0" w:color="000000"/>
              <w:bottom w:val="single" w:sz="6" w:space="0" w:color="000000"/>
              <w:right w:val="single" w:sz="6" w:space="0" w:color="000000"/>
            </w:tcBorders>
          </w:tcPr>
          <w:p w:rsidR="00875D57" w:rsidRPr="00875D57" w:rsidRDefault="00875D57" w:rsidP="00875D57">
            <w:pPr>
              <w:spacing w:after="0" w:line="240" w:lineRule="auto"/>
              <w:rPr>
                <w:rFonts w:ascii="Times New Roman" w:hAnsi="Times New Roman"/>
                <w:bCs/>
                <w:sz w:val="20"/>
                <w:szCs w:val="20"/>
              </w:rPr>
            </w:pPr>
            <w:r w:rsidRPr="00875D57">
              <w:rPr>
                <w:rFonts w:ascii="Times New Roman" w:hAnsi="Times New Roman"/>
                <w:bCs/>
                <w:sz w:val="20"/>
                <w:szCs w:val="20"/>
              </w:rPr>
              <w:t>Облiгацiї серiї А не торгуються на зовнішних ринках та на організаційно оформлених внутрішніх ринках. Перехід права власності на облігації на внутрішньому ринку здійснюється відповідно до законодавства про цінні папери. Фактів допуску/скасування допуску цінних паперів до торгів на регульованому фондовому ринку не було. Станом на 31.12.2024 року процентна ставка по облігаціях становить 16%. Мета емісії: кошти, залучені в результаті розміщення облігацій в повному обсязі планується спрямувати на надання послуг з фінансового лізингу. Спосіб, в який здійснювалась пропозиція: без здійснення публічної пропозиції. Рiшення про дострокове закiнчення розмiщення облiгацiй не приймалося. Дострокового погашення у звітному періоді не було. Протягом звітного періоду фактів викупу облігацій не було. Сума процентного доходу, виплаченого у звітному періоді складає: за 1й відсотковий період (процентна ставка за облігаціями - 16%) - 460250,00 гривень. Загальна сума виплаченого процентного доходу у звітному періоді - 460250,00 грн. Виплата процентного доходу здійснюється відповідно проспекту емісії.</w:t>
            </w:r>
          </w:p>
        </w:tc>
      </w:tr>
    </w:tbl>
    <w:p w:rsidR="00875D57" w:rsidRPr="00875D57" w:rsidRDefault="00875D57" w:rsidP="00875D57">
      <w:pPr>
        <w:spacing w:after="0" w:line="240" w:lineRule="auto"/>
        <w:rPr>
          <w:rFonts w:ascii="Times New Roman" w:hAnsi="Times New Roman"/>
          <w:sz w:val="24"/>
          <w:szCs w:val="24"/>
        </w:rPr>
      </w:pPr>
    </w:p>
    <w:p w:rsidR="00875D57" w:rsidRPr="00875D57" w:rsidRDefault="00875D57" w:rsidP="00875D57">
      <w:pPr>
        <w:spacing w:after="60" w:line="240" w:lineRule="auto"/>
        <w:jc w:val="center"/>
        <w:outlineLvl w:val="0"/>
        <w:rPr>
          <w:rFonts w:ascii="Times New Roman" w:hAnsi="Times New Roman"/>
          <w:b/>
          <w:bCs/>
          <w:kern w:val="28"/>
          <w:sz w:val="28"/>
          <w:szCs w:val="28"/>
        </w:rPr>
      </w:pPr>
      <w:bookmarkStart w:id="9" w:name="_Toc212450073"/>
      <w:r w:rsidRPr="00875D57">
        <w:rPr>
          <w:rFonts w:ascii="Times New Roman" w:hAnsi="Times New Roman"/>
          <w:b/>
          <w:bCs/>
          <w:kern w:val="28"/>
          <w:sz w:val="28"/>
          <w:szCs w:val="28"/>
          <w:lang w:val="en-US"/>
        </w:rPr>
        <w:t xml:space="preserve">III. </w:t>
      </w:r>
      <w:r w:rsidRPr="00875D57">
        <w:rPr>
          <w:rFonts w:ascii="Times New Roman" w:hAnsi="Times New Roman"/>
          <w:b/>
          <w:bCs/>
          <w:kern w:val="28"/>
          <w:sz w:val="28"/>
          <w:szCs w:val="28"/>
        </w:rPr>
        <w:t>Фінансова інформація</w:t>
      </w:r>
      <w:bookmarkEnd w:id="9"/>
    </w:p>
    <w:p w:rsidR="00875D57" w:rsidRPr="00875D57" w:rsidRDefault="00875D57" w:rsidP="00875D57">
      <w:pPr>
        <w:keepNext/>
        <w:spacing w:after="0"/>
        <w:jc w:val="center"/>
        <w:outlineLvl w:val="0"/>
        <w:rPr>
          <w:rFonts w:ascii="Times New Roman" w:hAnsi="Times New Roman"/>
          <w:b/>
          <w:bCs/>
          <w:kern w:val="32"/>
          <w:sz w:val="26"/>
          <w:szCs w:val="26"/>
        </w:rPr>
      </w:pPr>
      <w:bookmarkStart w:id="10" w:name="_Toc212450074"/>
      <w:r w:rsidRPr="00875D57">
        <w:rPr>
          <w:rFonts w:ascii="Times New Roman" w:hAnsi="Times New Roman"/>
          <w:b/>
          <w:bCs/>
          <w:kern w:val="32"/>
          <w:sz w:val="26"/>
          <w:szCs w:val="26"/>
        </w:rPr>
        <w:t>1. Інформація про розмір доходу за видами діяльності особи</w:t>
      </w:r>
      <w:bookmarkEnd w:id="10"/>
    </w:p>
    <w:tbl>
      <w:tblPr>
        <w:tblW w:w="5000" w:type="pct"/>
        <w:tblCellMar>
          <w:left w:w="0" w:type="dxa"/>
          <w:right w:w="0" w:type="dxa"/>
        </w:tblCellMar>
        <w:tblLook w:val="0000" w:firstRow="0" w:lastRow="0" w:firstColumn="0" w:lastColumn="0" w:noHBand="0" w:noVBand="0"/>
      </w:tblPr>
      <w:tblGrid>
        <w:gridCol w:w="10173"/>
        <w:gridCol w:w="3185"/>
        <w:gridCol w:w="2744"/>
      </w:tblGrid>
      <w:tr w:rsidR="00875D57" w:rsidRPr="00875D57" w:rsidTr="00073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 xml:space="preserve">Вид діяльності особи </w:t>
            </w:r>
            <w:r w:rsidRPr="00875D57">
              <w:rPr>
                <w:rFonts w:ascii="Times New Roman" w:hAnsi="Times New Roman"/>
                <w:b/>
                <w:color w:val="000000"/>
                <w:sz w:val="20"/>
                <w:szCs w:val="20"/>
              </w:rPr>
              <w:br/>
              <w:t xml:space="preserve">із зазначенням найменування </w:t>
            </w:r>
            <w:r w:rsidRPr="00875D57">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 xml:space="preserve">Розмір доходу особи </w:t>
            </w:r>
            <w:r w:rsidRPr="00875D57">
              <w:rPr>
                <w:rFonts w:ascii="Times New Roman" w:hAnsi="Times New Roman"/>
                <w:b/>
                <w:color w:val="000000"/>
                <w:sz w:val="20"/>
                <w:szCs w:val="20"/>
              </w:rPr>
              <w:br/>
              <w:t xml:space="preserve">від реалізації продукції </w:t>
            </w:r>
            <w:r w:rsidRPr="00875D57">
              <w:rPr>
                <w:rFonts w:ascii="Times New Roman" w:hAnsi="Times New Roman"/>
                <w:b/>
                <w:color w:val="000000"/>
                <w:sz w:val="20"/>
                <w:szCs w:val="20"/>
              </w:rPr>
              <w:br/>
              <w:t>(товарів, робіт, послуг), </w:t>
            </w:r>
            <w:r w:rsidRPr="00875D57">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 xml:space="preserve">Відсоткове вираження по відношенню </w:t>
            </w:r>
            <w:r w:rsidRPr="00875D57">
              <w:rPr>
                <w:rFonts w:ascii="Times New Roman" w:hAnsi="Times New Roman"/>
                <w:b/>
                <w:color w:val="000000"/>
                <w:sz w:val="20"/>
                <w:szCs w:val="20"/>
              </w:rPr>
              <w:br/>
              <w:t>від сукупного доходу особи за результатами звітного року</w:t>
            </w:r>
          </w:p>
        </w:tc>
      </w:tr>
      <w:tr w:rsidR="00875D57" w:rsidRPr="00875D57" w:rsidTr="00073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75D57">
              <w:rPr>
                <w:rFonts w:ascii="Times New Roman" w:hAnsi="Times New Roman"/>
                <w:b/>
                <w:color w:val="000000"/>
                <w:sz w:val="20"/>
                <w:szCs w:val="20"/>
                <w:lang w:val="en-US"/>
              </w:rPr>
              <w:t xml:space="preserve">                                                                    </w:t>
            </w:r>
            <w:r w:rsidRPr="00875D57">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875D57">
              <w:rPr>
                <w:rFonts w:ascii="Times New Roman" w:hAnsi="Times New Roman"/>
                <w:b/>
                <w:color w:val="000000"/>
                <w:sz w:val="20"/>
                <w:szCs w:val="20"/>
              </w:rPr>
              <w:t>3</w:t>
            </w:r>
          </w:p>
        </w:tc>
      </w:tr>
      <w:tr w:rsidR="00875D57" w:rsidRPr="00875D57" w:rsidTr="00073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 xml:space="preserve">64.91     </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ФІНАНСОВИЙ ЛІЗИНГ</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75D57">
              <w:rPr>
                <w:rFonts w:ascii="Times New Roman" w:hAnsi="Times New Roman"/>
                <w:color w:val="000000"/>
                <w:sz w:val="20"/>
                <w:szCs w:val="20"/>
              </w:rPr>
              <w:t>426110</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75D57">
              <w:rPr>
                <w:rFonts w:ascii="Times New Roman" w:hAnsi="Times New Roman"/>
                <w:color w:val="000000"/>
                <w:sz w:val="20"/>
                <w:szCs w:val="20"/>
              </w:rPr>
              <w:t>97.6</w:t>
            </w:r>
          </w:p>
        </w:tc>
      </w:tr>
      <w:tr w:rsidR="00875D57" w:rsidRPr="00875D57" w:rsidTr="00073F6D">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lastRenderedPageBreak/>
              <w:t xml:space="preserve">64.92     </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875D57">
              <w:rPr>
                <w:rFonts w:ascii="Times New Roman" w:hAnsi="Times New Roman"/>
                <w:color w:val="000000"/>
                <w:sz w:val="20"/>
                <w:szCs w:val="20"/>
                <w:lang w:val="en-US"/>
              </w:rPr>
              <w:t>ІНШІ ВИДИ КРЕДИТУВАННЯ</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75D57">
              <w:rPr>
                <w:rFonts w:ascii="Times New Roman" w:hAnsi="Times New Roman"/>
                <w:color w:val="000000"/>
                <w:sz w:val="20"/>
                <w:szCs w:val="20"/>
              </w:rPr>
              <w:t>10595</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875D57">
              <w:rPr>
                <w:rFonts w:ascii="Times New Roman" w:hAnsi="Times New Roman"/>
                <w:color w:val="000000"/>
                <w:sz w:val="20"/>
                <w:szCs w:val="20"/>
              </w:rPr>
              <w:t>2.4</w:t>
            </w:r>
          </w:p>
        </w:tc>
      </w:tr>
    </w:tbl>
    <w:p w:rsidR="00875D57" w:rsidRPr="00875D57" w:rsidRDefault="00875D57" w:rsidP="00875D57"/>
    <w:p w:rsidR="00875D57" w:rsidRDefault="00875D57">
      <w:pPr>
        <w:sectPr w:rsidR="00875D57" w:rsidSect="00875D57">
          <w:pgSz w:w="16838" w:h="11906" w:orient="landscape"/>
          <w:pgMar w:top="567" w:right="363" w:bottom="567" w:left="363" w:header="709" w:footer="709" w:gutter="0"/>
          <w:cols w:space="708"/>
          <w:docGrid w:linePitch="360"/>
        </w:sectPr>
      </w:pPr>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11" w:name="_Toc212450075"/>
      <w:r w:rsidRPr="00875D57">
        <w:rPr>
          <w:rFonts w:ascii="Times New Roman" w:hAnsi="Times New Roman"/>
          <w:b/>
          <w:bCs/>
          <w:kern w:val="28"/>
          <w:sz w:val="26"/>
          <w:szCs w:val="26"/>
          <w:lang w:val="en-US"/>
        </w:rPr>
        <w:lastRenderedPageBreak/>
        <w:t>2. Річна</w:t>
      </w:r>
      <w:r w:rsidRPr="00875D57">
        <w:rPr>
          <w:rFonts w:ascii="Times New Roman" w:hAnsi="Times New Roman"/>
          <w:b/>
          <w:bCs/>
          <w:kern w:val="28"/>
          <w:sz w:val="26"/>
          <w:szCs w:val="26"/>
        </w:rPr>
        <w:t xml:space="preserve"> фінансова звітність</w:t>
      </w:r>
      <w:bookmarkEnd w:id="11"/>
    </w:p>
    <w:p w:rsidR="00875D57" w:rsidRPr="00875D57" w:rsidRDefault="00875D57" w:rsidP="00875D57">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875D57">
        <w:rPr>
          <w:rFonts w:ascii="Times New Roman" w:hAnsi="Times New Roman"/>
          <w:bCs/>
          <w:iCs/>
          <w:color w:val="000000"/>
          <w:sz w:val="20"/>
          <w:szCs w:val="20"/>
        </w:rPr>
        <w:t xml:space="preserve">URL-адреса вебсайту особи, за якою розміщено </w:t>
      </w:r>
      <w:r w:rsidRPr="00875D57">
        <w:rPr>
          <w:rFonts w:ascii="Times New Roman" w:hAnsi="Times New Roman"/>
          <w:bCs/>
          <w:iCs/>
          <w:color w:val="000000"/>
          <w:sz w:val="20"/>
          <w:szCs w:val="20"/>
          <w:lang w:val="en-US"/>
        </w:rPr>
        <w:t>річну</w:t>
      </w:r>
      <w:r w:rsidRPr="00875D57">
        <w:rPr>
          <w:rFonts w:ascii="Times New Roman" w:hAnsi="Times New Roman"/>
          <w:bCs/>
          <w:iCs/>
          <w:color w:val="000000"/>
          <w:sz w:val="20"/>
          <w:szCs w:val="20"/>
        </w:rPr>
        <w:t xml:space="preserve"> фінансову звітність особи</w:t>
      </w:r>
      <w:r w:rsidRPr="00875D57">
        <w:rPr>
          <w:rFonts w:ascii="Times New Roman" w:hAnsi="Times New Roman"/>
          <w:bCs/>
          <w:iCs/>
          <w:color w:val="000000"/>
          <w:sz w:val="20"/>
          <w:szCs w:val="20"/>
          <w:lang w:val="ru-RU"/>
        </w:rPr>
        <w:t xml:space="preserve"> </w:t>
      </w:r>
      <w:r w:rsidRPr="00875D57">
        <w:rPr>
          <w:rFonts w:ascii="Times New Roman" w:hAnsi="Times New Roman"/>
          <w:bCs/>
          <w:iCs/>
          <w:color w:val="000000"/>
          <w:sz w:val="20"/>
          <w:szCs w:val="20"/>
        </w:rPr>
        <w:t>:</w:t>
      </w:r>
    </w:p>
    <w:p w:rsidR="00875D57" w:rsidRPr="00875D57" w:rsidRDefault="00875D57" w:rsidP="00875D57">
      <w:pPr>
        <w:spacing w:after="0" w:line="240" w:lineRule="auto"/>
        <w:rPr>
          <w:rFonts w:ascii="Times New Roman" w:hAnsi="Times New Roman"/>
          <w:sz w:val="20"/>
          <w:szCs w:val="20"/>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https://a-finance.in.ua/publichna-informatsiia/</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складає фінансову звітність у відповідності до вимог п.5 ст.12-1 Закону України "Про бухгалтерський облік та фінансову звітність в Україні" на основі таксономії фінансової звітності за міжнародними стандартами в єдиному електронному форматі, визначеному центральним органом виконавчої влади, що забезпечує формування та реалізує державну політику у сфері бухгалтерського обліку та аудиту.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URL -адреса, за якою розміщена  річна фінансова звітність на основі таксономії фінансової звітності за міжнародними стандартами фінансової звітності в єдиному електронному форматі (формат XBRL) на порталі СФЗ (2024_43064717.html розмір файлу 757 КБ (775 539 байт))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https://portal.frs.gov.ua/PublicData/ViewLastPublicDataUpload.aspx?formset_instance_id=219250&amp;submission_pack_version_id=188296&amp;entity_id=-1</w:t>
      </w:r>
    </w:p>
    <w:p w:rsidR="00875D57" w:rsidRPr="00875D57" w:rsidRDefault="00875D57" w:rsidP="00875D57">
      <w:pPr>
        <w:spacing w:after="0" w:line="240" w:lineRule="auto"/>
        <w:rPr>
          <w:rFonts w:ascii="Times New Roman" w:hAnsi="Times New Roman"/>
          <w:sz w:val="20"/>
          <w:szCs w:val="20"/>
          <w:lang w:val="ru-RU"/>
        </w:rPr>
      </w:pPr>
    </w:p>
    <w:p w:rsidR="00875D57" w:rsidRPr="00875D57" w:rsidRDefault="00875D57" w:rsidP="00875D57">
      <w:pPr>
        <w:spacing w:after="60" w:line="240" w:lineRule="auto"/>
        <w:jc w:val="center"/>
        <w:outlineLvl w:val="0"/>
        <w:rPr>
          <w:rFonts w:ascii="Times New Roman" w:hAnsi="Times New Roman"/>
          <w:b/>
          <w:bCs/>
          <w:kern w:val="28"/>
          <w:sz w:val="26"/>
          <w:szCs w:val="26"/>
        </w:rPr>
      </w:pPr>
      <w:bookmarkStart w:id="12" w:name="_Toc212450076"/>
      <w:r w:rsidRPr="00875D57">
        <w:rPr>
          <w:rFonts w:ascii="Times New Roman" w:hAnsi="Times New Roman"/>
          <w:b/>
          <w:bCs/>
          <w:kern w:val="28"/>
          <w:sz w:val="26"/>
          <w:szCs w:val="26"/>
        </w:rPr>
        <w:t>3. Аудиторський звіт до річної фінансової звітності</w:t>
      </w:r>
      <w:bookmarkEnd w:id="12"/>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875D57">
        <w:rPr>
          <w:rFonts w:ascii="Times New Roman" w:hAnsi="Times New Roman"/>
          <w:b/>
          <w:color w:val="000000"/>
          <w:sz w:val="24"/>
          <w:szCs w:val="24"/>
        </w:rPr>
        <w:t>Довідка</w:t>
      </w:r>
      <w:r w:rsidRPr="00875D57">
        <w:rPr>
          <w:rFonts w:ascii="Times New Roman" w:hAnsi="Times New Roman"/>
          <w:b/>
          <w:color w:val="000000"/>
          <w:sz w:val="24"/>
          <w:szCs w:val="24"/>
        </w:rPr>
        <w:br/>
        <w:t>щодо відомостей про аудиторський звіт щодо фінансової звітності за звітний рік:</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firstLine="283"/>
        <w:jc w:val="center"/>
        <w:textAlignment w:val="center"/>
        <w:rPr>
          <w:rFonts w:ascii="Times New Roman" w:hAnsi="Times New Roman"/>
          <w:color w:val="000000"/>
          <w:w w:val="90"/>
          <w:sz w:val="8"/>
          <w:szCs w:val="8"/>
        </w:rPr>
      </w:pPr>
    </w:p>
    <w:tbl>
      <w:tblPr>
        <w:tblW w:w="10314" w:type="dxa"/>
        <w:tblInd w:w="-31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534"/>
        <w:gridCol w:w="4854"/>
        <w:gridCol w:w="4926"/>
      </w:tblGrid>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w:t>
            </w:r>
          </w:p>
        </w:tc>
        <w:tc>
          <w:tcPr>
            <w:tcW w:w="4854" w:type="dxa"/>
            <w:vAlign w:val="center"/>
          </w:tcPr>
          <w:p w:rsidR="00875D57" w:rsidRPr="00875D57" w:rsidRDefault="00875D57" w:rsidP="00875D57">
            <w:pPr>
              <w:spacing w:after="0" w:line="240" w:lineRule="auto"/>
              <w:rPr>
                <w:rFonts w:ascii="Times New Roman" w:hAnsi="Times New Roman"/>
                <w:b/>
                <w:sz w:val="20"/>
                <w:szCs w:val="20"/>
                <w:lang w:val="en-US"/>
              </w:rPr>
            </w:pPr>
            <w:r w:rsidRPr="00875D57">
              <w:rPr>
                <w:rFonts w:ascii="Times New Roman" w:hAnsi="Times New Roman"/>
                <w:b/>
                <w:sz w:val="20"/>
                <w:szCs w:val="20"/>
              </w:rPr>
              <w:t>Повне найменування</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З ОБМЕЖЕНОЮ ВІДПОВІДАЛЬНІСТЮ "ФІНАНСОВА КОМПАНІЯ "А-ФІНАНС"</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2</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4"/>
              </w:rPr>
              <w:t>Ідентифікаційний код юридичної особи</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43064717</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3</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Найменування суб’єкта аудиторської діяльності</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З ОБМЕЖЕНОЮ ВІДПОВІДАЛЬНІСТЮ "АУДИТОРСЬКА ФІРМА "ОЛЕСЯ"</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4</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Ідентифікаційний код суб’єкта аудиторської діяльності</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22930490</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5</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д/н</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6</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xml:space="preserve">Реєстровий номер та дата внесення реєстрової інформації до Реєстру аудиторів та суб’єктів </w:t>
            </w:r>
            <w:r w:rsidRPr="00875D57">
              <w:rPr>
                <w:rFonts w:ascii="Times New Roman" w:hAnsi="Times New Roman"/>
                <w:b/>
                <w:sz w:val="20"/>
                <w:szCs w:val="20"/>
              </w:rPr>
              <w:br/>
              <w:t>аудиторської діяльності аудиторської фірми</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4423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19.10.2018</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7</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Реєстровий номер аудитора, який одноосібно провадить аудиторську діяльність в Реєстрі аудиторів та суб’єктів аудиторської діяльності</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д/н</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8</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Розділ Реєстру аудиторів та суб'єктів аудиторської діяльності (1 - аудитори, 2 - суб'єкти аудиторської діяльності, 3 - суб'єкти аудиторської діяльності, які мають право проводити обов'язковий аудит фінансової звітності, 4 - суб'єкти аудиторської діяльності, які мають право проводити обов'язковий аудит фінансової звітності підприємств, що становлять суспільний інтерес.</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rPr>
              <w:t>3</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9</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lang w:eastAsia="ru-RU"/>
              </w:rPr>
              <w:t>Звітний період, за який проведено аудит фінансової звітності</w:t>
            </w:r>
          </w:p>
        </w:tc>
        <w:tc>
          <w:tcPr>
            <w:tcW w:w="4926" w:type="dxa"/>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01.01.2024 - 31.12.2024</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10</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Думка аудитора (01 - немодифікована; 02 - із застереженням; 03 - негативна; 04 - відмова від висловлення думки)</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01 - немодифікована</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11</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lang w:eastAsia="ru-RU"/>
              </w:rPr>
              <w:t>Номер та дата договору на проведення аудиту</w:t>
            </w:r>
          </w:p>
        </w:tc>
        <w:tc>
          <w:tcPr>
            <w:tcW w:w="4926" w:type="dxa"/>
            <w:vAlign w:val="center"/>
          </w:tcPr>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101</w:t>
            </w:r>
          </w:p>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18.03.2025</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12</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lang w:eastAsia="ru-RU"/>
              </w:rPr>
              <w:t>Дата початку та дата закінчення аудиту</w:t>
            </w:r>
          </w:p>
        </w:tc>
        <w:tc>
          <w:tcPr>
            <w:tcW w:w="4926" w:type="dxa"/>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18.03.2025 - 28.05.2025</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13</w:t>
            </w:r>
          </w:p>
        </w:tc>
        <w:tc>
          <w:tcPr>
            <w:tcW w:w="4854" w:type="dxa"/>
            <w:vAlign w:val="center"/>
          </w:tcPr>
          <w:p w:rsidR="00875D57" w:rsidRPr="00875D57" w:rsidRDefault="00875D57" w:rsidP="00875D57">
            <w:pPr>
              <w:spacing w:after="0" w:line="240" w:lineRule="auto"/>
              <w:rPr>
                <w:rFonts w:ascii="Times New Roman" w:hAnsi="Times New Roman"/>
                <w:b/>
                <w:sz w:val="20"/>
                <w:szCs w:val="20"/>
                <w:lang w:eastAsia="ru-RU"/>
              </w:rPr>
            </w:pPr>
            <w:r w:rsidRPr="00875D57">
              <w:rPr>
                <w:rFonts w:ascii="Times New Roman" w:hAnsi="Times New Roman"/>
                <w:b/>
                <w:sz w:val="20"/>
                <w:szCs w:val="20"/>
                <w:lang w:eastAsia="ru-RU"/>
              </w:rPr>
              <w:t>Дата аудиторського висновку</w:t>
            </w:r>
          </w:p>
        </w:tc>
        <w:tc>
          <w:tcPr>
            <w:tcW w:w="4926" w:type="dxa"/>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t>28.05.2025</w:t>
            </w:r>
          </w:p>
        </w:tc>
      </w:tr>
      <w:tr w:rsidR="00875D57" w:rsidRPr="00875D57" w:rsidTr="00073F6D">
        <w:trPr>
          <w:trHeight w:val="397"/>
        </w:trPr>
        <w:tc>
          <w:tcPr>
            <w:tcW w:w="534" w:type="dxa"/>
            <w:vAlign w:val="center"/>
          </w:tcPr>
          <w:p w:rsidR="00875D57" w:rsidRPr="00875D57" w:rsidRDefault="00875D57" w:rsidP="00875D57">
            <w:pPr>
              <w:spacing w:after="0" w:line="240" w:lineRule="auto"/>
              <w:jc w:val="center"/>
              <w:rPr>
                <w:rFonts w:ascii="Times New Roman" w:hAnsi="Times New Roman"/>
                <w:b/>
                <w:sz w:val="20"/>
                <w:szCs w:val="20"/>
                <w:lang w:val="en-US"/>
              </w:rPr>
            </w:pPr>
            <w:r w:rsidRPr="00875D57">
              <w:rPr>
                <w:rFonts w:ascii="Times New Roman" w:hAnsi="Times New Roman"/>
                <w:b/>
                <w:sz w:val="20"/>
                <w:szCs w:val="20"/>
                <w:lang w:val="en-US"/>
              </w:rPr>
              <w:t>14</w:t>
            </w:r>
          </w:p>
        </w:tc>
        <w:tc>
          <w:tcPr>
            <w:tcW w:w="4854" w:type="dxa"/>
            <w:vAlign w:val="center"/>
          </w:tcPr>
          <w:p w:rsidR="00875D57" w:rsidRPr="00875D57" w:rsidRDefault="00875D57" w:rsidP="00875D57">
            <w:pPr>
              <w:spacing w:after="0" w:line="240" w:lineRule="auto"/>
              <w:rPr>
                <w:rFonts w:ascii="Times New Roman" w:hAnsi="Times New Roman"/>
                <w:b/>
                <w:sz w:val="20"/>
                <w:szCs w:val="20"/>
              </w:rPr>
            </w:pPr>
            <w:r w:rsidRPr="00875D57">
              <w:rPr>
                <w:rFonts w:ascii="Times New Roman" w:hAnsi="Times New Roman"/>
                <w:b/>
                <w:sz w:val="20"/>
                <w:szCs w:val="20"/>
              </w:rPr>
              <w:t xml:space="preserve">Інформація про виявлені факти аудитором або ключовим партнером при виконанні завдання з обов’язкового аудиту фінансової звітності </w:t>
            </w:r>
            <w:r w:rsidRPr="00875D57">
              <w:rPr>
                <w:rFonts w:ascii="Times New Roman" w:hAnsi="Times New Roman"/>
                <w:b/>
                <w:sz w:val="20"/>
                <w:szCs w:val="20"/>
              </w:rPr>
              <w:lastRenderedPageBreak/>
              <w:t xml:space="preserve">підприємства, що становить суспільний інтерес, </w:t>
            </w:r>
            <w:r w:rsidRPr="00875D57">
              <w:rPr>
                <w:rFonts w:ascii="Times New Roman" w:hAnsi="Times New Roman"/>
                <w:b/>
                <w:sz w:val="20"/>
                <w:szCs w:val="20"/>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c>
          <w:tcPr>
            <w:tcW w:w="4926" w:type="dxa"/>
            <w:vAlign w:val="center"/>
          </w:tcPr>
          <w:p w:rsidR="00875D57" w:rsidRPr="00875D57" w:rsidRDefault="00875D57" w:rsidP="00875D57">
            <w:pPr>
              <w:spacing w:after="0" w:line="240" w:lineRule="auto"/>
              <w:rPr>
                <w:rFonts w:ascii="Times New Roman" w:hAnsi="Times New Roman"/>
                <w:sz w:val="20"/>
                <w:szCs w:val="20"/>
                <w:lang w:val="ru-RU"/>
              </w:rPr>
            </w:pPr>
            <w:r w:rsidRPr="00875D57">
              <w:rPr>
                <w:rFonts w:ascii="Times New Roman" w:hAnsi="Times New Roman"/>
                <w:sz w:val="20"/>
                <w:szCs w:val="20"/>
                <w:lang w:val="en-US"/>
              </w:rPr>
              <w:lastRenderedPageBreak/>
              <w:t>д/н</w:t>
            </w:r>
          </w:p>
        </w:tc>
      </w:tr>
    </w:tbl>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left="-426"/>
        <w:jc w:val="center"/>
        <w:textAlignment w:val="center"/>
        <w:rPr>
          <w:rFonts w:ascii="Times New Roman" w:hAnsi="Times New Roman"/>
          <w:b/>
          <w:color w:val="000000"/>
          <w:sz w:val="24"/>
          <w:szCs w:val="24"/>
        </w:rPr>
      </w:pPr>
      <w:r w:rsidRPr="00875D57">
        <w:rPr>
          <w:rFonts w:ascii="Times New Roman" w:hAnsi="Times New Roman"/>
          <w:b/>
          <w:color w:val="000000"/>
          <w:sz w:val="24"/>
          <w:szCs w:val="24"/>
        </w:rPr>
        <w:t>Аудиторський звіт до річної фінансової звітності :</w:t>
      </w:r>
    </w:p>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color w:val="000000"/>
          <w:sz w:val="24"/>
          <w:szCs w:val="24"/>
        </w:rPr>
      </w:pP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ЗВІТ НЕЗАЛЕЖНОГО АУДИТОРА ЩОДО РІЧНОЇ ФІНАНСОВОЇ ЗВІТНОСТІ ТОВАРИСТВА З ОБМЕЖЕНОЮ ВІДПОВІДАЛЬНІСТЮ "ФІНАНСОВА КОМПАНІЯ "А-ФІНАНС"</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ЗА 2024 РІК (СТАНОМ НА 31 ГРУДНЯ 2024 РОКУ)</w:t>
      </w: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Керівництву та учасникам ТОВ "ФК "А-ФІНАНС"</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Національному банку України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Національній комісії з цінних паперів та фондового ринку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Органам Державної податкової служби України </w:t>
      </w: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I.</w:t>
      </w:r>
      <w:r w:rsidRPr="00875D57">
        <w:rPr>
          <w:rFonts w:ascii="Times New Roman" w:hAnsi="Times New Roman"/>
          <w:color w:val="000000"/>
          <w:w w:val="90"/>
          <w:sz w:val="20"/>
          <w:szCs w:val="20"/>
          <w:lang w:val="en-US"/>
        </w:rPr>
        <w:tab/>
        <w:t>ЗВІТ ЩОДО АУДИТУ ФІНАНСОВОЇ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Думка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провели аудит фінансової звітності Товариства з обмеженою відповідальністю "ФІНАНСОВА КОМПАНІЯ "А-ФІНАНС", код за ЄДРПОУ 43064717, місцезнаходження: Україна, 01042, місто Київ, бульвар Марії Приймаченко, будинок, 1/27, офіс, 304/6 (далі  Товариство), яка складається із Балансу (Звіту про фінансовий стан) станом на 31 грудня 2024 року, Звіту про фінансові результати (Звіту про сукупний дохід) за 2024 рік, Звіту про рух грошових коштів (за прямим методом) за 2024 рік, Звіту про власний капітал за 2024 рік, та приміток до фінансової звітності, включаючи стислий виклад значущих облікових політик.</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 нашу думку, фінансова звітність, що додається, відображає достовірно, в усіх суттєвих аспектах фінансовий стан Товариства на 31 грудня 2024 року та його фінансові результати і грошові потоки за рік, що закінчився зазначеною датою, відповідно до Міжнародних стандартів фінансової звітності (далі - МСФЗ), та відповідає вимогам Закону України "Про бухгалтерський облік та фінансову звітність в Україні" від 16.07.1999 № 996-XIV щодо складання фінансової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Основа для думки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провели аудит відповідно до Міжнародних стандартів контролю якості, аудиту, огляду, іншого надання впевненості та супутніх послуг (далі - МСА).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Товариства відповідно до Міжнародного кодексу етики професійних бухгалтерів (включаючи Міжнародні стандарти незалежності) Ради з Міжнародних стандартів етики для бухгалтерів (далі - Кодекс РМСЕБ) та етичними вимогами, застосовними в Україні до нашого аудиту фінансової звітності, а також виконали інші обов'язки з етики відповідно до цих вимог та Кодексу РМСЕБ.</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вважаємо, що отримані нами аудиторські докази є достатніми і прийнятними для використання їх як основи для нашої думки.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Суттєва невизначеність, що стосується безперервності діяльності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Як зазначено в примітках до фінансової звітності 5. Основи підготовки фінансової звітності  пункт Припущення щодо функціонування компанії в найближчому майбутньому, управлінський персонал визнає і аналізує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Товариства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Ця фінансова звітність не включає жодних коригувань, які можуть виникнути в результаті такої невизначеності. Про такі коригування буде повідомлено, якщо вони стануть відомі та зможуть бути оцінені. Нашу думку щодо цього питання не було модифіковано.</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Ключові питання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Ключові питання аудиту - це питання, які, на наше професійне судження, були найбільш значущими під час нашого аудиту фінансової звітності за поточний період. Ці питання розглядались у контексті нашого аудиту фінансової звітності в цілому та враховувались при формуванні думки щодо неї, при цьому ми не висловлюємо окремої думки щодо цих питань.</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Додатково до питання, описаного в розділі "Суттєва невизначеність, що стосується безперервності діяльності", ми визначили, що описані нижче питання є ключовими питаннями аудиту, які слід відобразити в нашому звіті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Ключове питання аудиту</w:t>
      </w:r>
      <w:r w:rsidRPr="00875D57">
        <w:rPr>
          <w:rFonts w:ascii="Times New Roman" w:hAnsi="Times New Roman"/>
          <w:color w:val="000000"/>
          <w:w w:val="90"/>
          <w:sz w:val="20"/>
          <w:szCs w:val="20"/>
          <w:lang w:val="en-US"/>
        </w:rPr>
        <w:tab/>
        <w:t>Які аудиторські процедури були виконані стосовно ключового питання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Визнання очікуваних кредитних збитків</w:t>
      </w:r>
      <w:r w:rsidRPr="00875D57">
        <w:rPr>
          <w:rFonts w:ascii="Times New Roman" w:hAnsi="Times New Roman"/>
          <w:color w:val="000000"/>
          <w:w w:val="90"/>
          <w:sz w:val="20"/>
          <w:szCs w:val="20"/>
          <w:lang w:val="en-US"/>
        </w:rPr>
        <w:tab/>
        <w:t>Опис аудиторських процедур</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Товариство на виконання вимог МСФЗ 9 "Фінансові інструменти" визнає резерви під збитки для очікуваних кредитних збитків за фінансовими активами, які оцінюються за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амортизованою собівартістю.</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lastRenderedPageBreak/>
        <w:t xml:space="preserve">Визначення значного зростання кредитного ризику з моменту первісного визнання потребує багатофакторного і комплексного аналізу, доречні урахування певного чинника та аналізу його ваги в порівнянні з іншими чинниками, які залежать від типу продукту, характеристик фінансових інструментів і позичальника.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Через суттєвість суми, високий рівень значущості судження та особливості розрахунку, про які йдеться вище, розрахунок резерву збитків вважається ключовим питанням.</w:t>
      </w:r>
      <w:r w:rsidRPr="00875D57">
        <w:rPr>
          <w:rFonts w:ascii="Times New Roman" w:hAnsi="Times New Roman"/>
          <w:color w:val="000000"/>
          <w:w w:val="90"/>
          <w:sz w:val="20"/>
          <w:szCs w:val="20"/>
          <w:lang w:val="en-US"/>
        </w:rPr>
        <w:tab/>
        <w:t>При вирішенні цього питання нами було досліджено та проаналізовано процеси та принципи облікової політики, пов'язані з оцінкою величини кредитних збитків та оцінено структуру та впровадження систем і засобів контролю, пов'язаних із цим процесом;</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Окрім іншого, наші процедури включали наступне:</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Ми оцінили перелік відомостей, що можуть виявитись доречними для оцінювання змін у кредитному ризику;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Дослідили та провели оцінку процесу і методики розрахунку резерву під збитки для очікуваних кредитних збитків здійснених Товариством у відповідності до прийнятих внутрішніх положень, зокрема Положення про порядок формування та використання резервів за фінансовими активами ТОВ "ФК "А-ФІНАНС".  та політик Товариства, що регулюють дані питання;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Ми оцінили повноту розкриття інформації включаючи кількісні та якісні показники пов'язані з формуванням резервів під збитки згідно нашого розуміння бізнесу.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вважаємо, що виконані нами аудиторські процедури були прийнятними та достатніми для отримання доказів стосовно оцінки та відображення Товариством резерву очікуваних кредитних збитків в фінансовій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Інші питання - аудит за минулий (попередній) період</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Аудит фінансової звітності Товариства за рік, що закінчився 31 грудня 2023 року, був проведений іншим аудитором, який 24 квітня 2024 року висловив немодифіковану думку щодо цієї фінансової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Інша інформація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Управлінський персонал Товариства несе відповідальність за іншу інформацію.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Інша інформація, отримана до дати цього звіту аудитора, є інформацією, яка міститься: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у складі річної звітності учасниками ринку небанківських фінансових послуг за 2024 рік, складеної у відповідності Постанови Національного банку "Про затвердження Правил складання та подання звітності учасниками ринку небанківських фінансових послуг до Національного банку України" № 123 від 25.11.2021, але не включає фінансову звітність та наш звіт аудитора щодо неї;</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 у Звіті про управління за 2024 рік, складеному у відповідності до вимог Закону України "Про бухгалтерський облік та фінансову звітність в Україні" № 996-XIV від 16.07.1999.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Наша думка щодо річних звітних даних (даних звітності) фінансової компанії міститься в незалежному звіті з надання впевненості щодо річних звітних даних (даних звітності) фінансової компанії Товариства з обмеженою відповідальністю "ФІНАНСОВА КОМПАНІЯ "А-ФІНАНС" за 2024 рік.</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Наша думка щодо фінансової звітності не поширюється на іншу інформацію та ми не робимо висновок з будь-яким рівнем впевненості щодо цієї іншої інформації.</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У зв'язку з аудитом фінансової звітності нашою відповідальністю є ознайомлення з іншою інформацією та при цьому необхідність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виглядає такою, що містить суттєве викривлення.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Ми не виявили таких фактів, які потрібно було б включити до звіту.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Інша інформація - стосовно  про розкриття інформації емітентами цінних паперів, а також особами, які надають забезпечення за такими цінними паперами</w:t>
      </w: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Управлінський персонал Товариства несе відповідальність за іншу інформацію, яка міститься у  Звіті про корпоративне управління за 2024 рік, який складається відповідно до вимог частини третьої статті 127 Закону України "Про ринки капіталу та організовані товарні ринки" від 23 лютого 2006 року № 3480-IV (із змінами та доповненнями) та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Ми не отримали цю інформацію на дату нашого звіту, тому  не надаємо висновок з будь-яким рівнем впевненості щодо відповідності інформації Звіту про корпоративне управління Товариства  за 2024 рік вимогам пунктів 5-9 частини третьої статті 127 Закону України "Про ринки капіталу та організовані товарні ринки" від 23 лютого 2006 року  № 3480-IV та підпунктів 6-11 пункту 43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від 06.06.2023 № 608.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Якщо при ознайомленні з цією інформацією, коли вона нам буде надана, ми дійдемо висновку, що вона містить суттєве  викривлення та/або невідповідність, ми зобов'язані повідомити про це  осіб, відповідальних за корпоративне управління.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Відповідальність управлінського персоналу та тих, кого наділено найвищими повноваженнями, за фінансову звітність</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Управлінський персонал Товариства несе відповідальність за складання і достовірне подання фінансової звітності відповідно до МСФЗ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При складанні фінансової звітності управлінський персонал несе відповідальність за оцінку здатності Товариства продовжувати свою діяльність на безперервній основі, розкриваючи, де це застосовно,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Товариство чи припинити діяльність, або не має інших реальних альтернатив цьому. </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lastRenderedPageBreak/>
        <w:t>Ті, кого наділено найвищими повноваженнями несуть відповідальність за нагляд за процесом фінансового звітування Товариства.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Відповідальність аудитора за аудит фінансової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якщо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що приймаються на основі цієї фінансової звітності.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Виконуючи аудит відповідно до вимог МСА, ми використовуємо професійне судження та професійний скептицизм протягом усього завдання з аудиту. Крім того, ми: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Товариства продовжувати свою діяльність на безперервній основі. Якщо ми доходимо висновку щодо існування такої суттєвої 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ґрунтуються на аудиторських доказах, отриманих до дати нашого звіту аудитора. Втім майбутні події або умови можуть примусити Товариство припинити свою діяльність на безперервній основі;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w:t>
      </w:r>
      <w:r w:rsidRPr="00875D57">
        <w:rPr>
          <w:rFonts w:ascii="Times New Roman" w:hAnsi="Times New Roman"/>
          <w:color w:val="000000"/>
          <w:w w:val="90"/>
          <w:sz w:val="20"/>
          <w:szCs w:val="20"/>
          <w:lang w:val="en-US"/>
        </w:rPr>
        <w:tab/>
        <w:t>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Ми також надаємо тим, кого наділено найвищими повноваженнями,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застосовано, щодо відповідних застережних заходів.</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З переліку всіх питань, інформація щодо яких надавалась тим, кого наділено найвищими повноваженнями, ми визначили ті, що були найбільш значущими під час аудиту фінансової звітності поточного періоду, тобто ті, які є ключовими питаннями аудиту. Ми описуємо ці питання в нашому звіті аудитора крім випадків, якщо законодавчим чи регуляторним актом заборонено публічне розкриття такого питання, або коли за вкрай виняткових обставин ми визначаємо, що таке питання не слід висвітлювати в нашому звіті, оскільки негативні наслідки такого висвітлення можуть очікувано переважити його корисність для інтересів громадськості.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II.</w:t>
      </w:r>
      <w:r w:rsidRPr="00875D57">
        <w:rPr>
          <w:rFonts w:ascii="Times New Roman" w:hAnsi="Times New Roman"/>
          <w:color w:val="000000"/>
          <w:w w:val="90"/>
          <w:sz w:val="20"/>
          <w:szCs w:val="20"/>
          <w:lang w:val="en-US"/>
        </w:rPr>
        <w:tab/>
        <w:t>ЗВІТ ЩОДО ВИМОГ ІНШИХ ЗАКОНОДАВЧИХ І НОРМАТИВНИХ АКТІВ</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Інформація щодо дотримання Товариством основних умов здійснення діяльності з надання фінансових послуг та пруденційних вимог</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При здійсненні діяльності Товариство в цілому дотримувалося основних вимог, визначених Положенням про авторизацію надавачів фінансових послуг та умови здійснення ними діяльності з надання фінансових послуг, затверджено Постановою Правління Національного банку України від 29 грудня 2023 року № 199 та Положенням про пруденційні вимоги до фінансових компаній, затверджено Постановою Правління Національного банку України від 27.12.2023 № 192. (далі - Положення 192)</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Товариство протягом звітного періоду з урахуванням періоду щодо приведення своєї діяльності у відповідність до вимог Положення №192, виконувало пруденційні вимоги стосовно достатності власного капіталу (розмір власного капіталу перевищував/не був меншим ніж 20 млн. грн.). Також Товариство, протягом звітного періоду з урахуванням періоду, щодо приведення своєї діяльності у відповідність до вимог Положення №192, дотримувалося нормативу левериджу (нормативне значення нормативу левериджу становило не менше ніж три відсотки).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Статутний капітал Товариства був сплачений виключно в грошовій формі та розміщений на банківських рахунках комерційних банків, які є юридичними особами за законодавством України. Розмір статутного капіталу Товариства,  відображений у фінансовій звітності, відповідає даним витягу з Єдиного державного реєстру юридичних осіб, фізичних осіб-підприємців та громадських формувань, а також відповідає даним Статуту Товариства.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Інформація щодо на виконання вимог Рішення Національної комісії з цінних паперів та фондового ринку "Про затвердження Вимог до інформації, що стосується аудиту або огляду фінансової звітності учасників ринків капіталу та організованих товарних ринків, нагляд за якими здійснює Національна комісія з цінних паперів та фондового ринку" № 555 від 22.07.2021</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1.</w:t>
      </w:r>
      <w:r w:rsidRPr="00875D57">
        <w:rPr>
          <w:rFonts w:ascii="Times New Roman" w:hAnsi="Times New Roman"/>
          <w:color w:val="000000"/>
          <w:w w:val="90"/>
          <w:sz w:val="20"/>
          <w:szCs w:val="20"/>
          <w:lang w:val="en-US"/>
        </w:rPr>
        <w:tab/>
        <w:t>Повне найменування юридичної особи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Товариство з обмеженою відповідальністю "ФІНАНСОВА КОМПАНІЯ "А-ФІНАНС"</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lastRenderedPageBreak/>
        <w:t>2.</w:t>
      </w:r>
      <w:r w:rsidRPr="00875D57">
        <w:rPr>
          <w:rFonts w:ascii="Times New Roman" w:hAnsi="Times New Roman"/>
          <w:color w:val="000000"/>
          <w:w w:val="90"/>
          <w:sz w:val="20"/>
          <w:szCs w:val="20"/>
          <w:lang w:val="en-US"/>
        </w:rPr>
        <w:tab/>
        <w:t>Думка аудитора щодо повного розкриття юридичною особою інформації про кінцевого бенефіціарного власника (у разі наявності) та структуру власності станом на дату аудиту або огляду, відповідно до вимог, встановлених Положенням про форму та зміст структури власності, затвердженим наказом Міністерства фінансів України від 19 березня 2021 року № 163, зареєстрованим в Міністерстві юстиції України 08 червня 2021 року за № 768/3639</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 нашу думку Товариство в повному обсязі розкрило інформацію про кінцевого бенефіціарного власника  та структуру власності станом на дату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3.  Інформація про те, чи є суб'єкт господарювання: контролером/учасником небанківської фінансової групи; підприємством, що становить суспільний інтерес</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Станом на 31.12.2024:</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-Товариство не є контролером/учасником небанківської фінансової групи;</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-Товариство не відноситься до підприємств, що становлять суспільний інтерес.</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4. Інформація про наявність у суб'єкта господарювання материнських/дочірніх компаній із зазначенням найменування, організаційно-правової форми, місцезнаходження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Станом на 31.12.2024 у Товариства відсутні материнські/дочірні компанії.</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5.  Думка аудитора щодо правильності розрахунку пруденційних показників, встановлених нормативно-правовим актом НКЦПФР для відповідного виду діяльності, за звітний період (для професійних учасників ринків капіталу та організованих товарних ринків)</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Товариство не входить до кола для професійних учасників ринків капіталу та організованих товарних ринків, відповідно, не розраховує пруденційні показники, встановлені НКЦПФР, тому ми не висловлюємо думку з цього питання.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6. Думка/висновок аудитора щодо відповідності розміру статутного капіталу установчим документам або інформації з Єдиного державного реєстру юридичних осіб, фізичних осіб - підприємців та громадських формувань</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На нашу думку розмір статутного капіталу, який відображено в фінансовій звітності Товариства, відповідає інформації з Єдиного державного реєстру юридичних осіб, фізичних осіб-підприємців та громадських формувань.</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Станом на 31.12.2024  розмір зареєстрованого статутного капіталу Товариства становить  18 896 тис. грн.</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7. Інформація про наявність подій після дати балансу, які не знайшли відображення у фінансовій звітності, проте можуть мати суттєвий вплив на фінансовий стан Товариства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Події після звітної дати, які могли б вплинути на фінансову звітність та які б могли вимагати коригування фінансової звітності станом на 31.12.2024 за 2024 рік, відсутні.</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8. Інформація щодо повноти та достовірності розкриття інформації щодо складу і структури фінансових інвестицій</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Відповідно даних фінансової звітності у Товариства відсутні фінансові інвестиції станом на 31.12.2024.</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9. Інформація про наявність інших фактів та обставин, які можуть суттєво вплинути на діяльність юридичної особи у майбутньому, та оцінку ступеня їх впливу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Привертаємо увагу до розділу "Суттєва невизначеність, що стосується безперервності діяльності" нашого звіту, де зазначаємо, що можливість безперервної діяльності Товариства в значній мірі залежить від перебігу війни,  закінчення військового стану та виконання Товариством вимог до власного капіталу. Оцінки та судження управлінського персоналу Товариства стосовно даного питання відображено в примітках 5. Основи підготовки фінансової звітності,  15. Плани щодо безперервної діяльності та 16. Події після дати балансу.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 xml:space="preserve">                                           Інша інформація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Основні відомості про аудитора</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Повне найменування: Товариство з обмеженою відповідальністю "Аудиторська Фірма "Олеся";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Ідентифікаційний код юридичної особи: 22930490;</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Місцезнаходження: Україна, 03028, місто Київ, вул. Саперно-Слобідська, будинок 10, квартира 137.</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Вебсторінка/вебсайт суб'єкта аудиторської діяльності: https://www.auditolesya-kiev.com/</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Реєстровий номер у Реєстрі аудиторів та суб'єктів аудиторської діяльності: № 4423;</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внесення реєстрової інформації у Реєстр аудиторів та суб'єктів аудиторської діяльності: 19.10.2018;</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внесення реєстрової інформації до розділу "Суб'єкти аудиторської діяльності, які мають право проводити обов'язковий аудит фінансової звітності" Реєстру аудиторів та суб'єктів аудиторської діяльності: 07.12.2018;</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Аудитори, що брали участь в аудиторській перевірці: Тягун Наталія Григорівна - реєстровий номер: № 100294, дата внесення реєстрової інформації: 05.10.2018.</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Основні відомості про умови договору на проведення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та номер договору на проведення аудиту: Договір № 101 від 18.03.2025р.;</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початку проведення аудиту: 18.03.2025р.;</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закінчення проведення аудиту: 28.05.2025р.</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Ключовий партнер з аудиту,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аудитор ТОВ АФ "Олеся"</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(реєстровий номер: № 100294)</w:t>
      </w:r>
      <w:r w:rsidRPr="00875D57">
        <w:rPr>
          <w:rFonts w:ascii="Times New Roman" w:hAnsi="Times New Roman"/>
          <w:color w:val="000000"/>
          <w:w w:val="90"/>
          <w:sz w:val="20"/>
          <w:szCs w:val="20"/>
          <w:lang w:val="en-US"/>
        </w:rPr>
        <w:tab/>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(підпис)</w:t>
      </w:r>
      <w:r w:rsidRPr="00875D57">
        <w:rPr>
          <w:rFonts w:ascii="Times New Roman" w:hAnsi="Times New Roman"/>
          <w:color w:val="000000"/>
          <w:w w:val="90"/>
          <w:sz w:val="20"/>
          <w:szCs w:val="20"/>
          <w:lang w:val="en-US"/>
        </w:rPr>
        <w:tab/>
        <w:t>Н.Г.Тягун</w:t>
      </w: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Дата складання аудиторського висновку: 28.05.2025 року</w:t>
      </w:r>
    </w:p>
    <w:p w:rsidR="00875D57" w:rsidRPr="00875D57" w:rsidRDefault="00875D57" w:rsidP="00875D57">
      <w:pPr>
        <w:spacing w:after="0" w:line="240" w:lineRule="auto"/>
        <w:rPr>
          <w:rFonts w:ascii="Times New Roman" w:hAnsi="Times New Roman"/>
          <w:color w:val="000000"/>
          <w:w w:val="90"/>
          <w:sz w:val="20"/>
          <w:szCs w:val="20"/>
          <w:lang w:val="en-US"/>
        </w:rPr>
      </w:pPr>
      <w:r w:rsidRPr="00875D57">
        <w:rPr>
          <w:rFonts w:ascii="Times New Roman" w:hAnsi="Times New Roman"/>
          <w:color w:val="000000"/>
          <w:w w:val="90"/>
          <w:sz w:val="20"/>
          <w:szCs w:val="20"/>
          <w:lang w:val="en-US"/>
        </w:rPr>
        <w:t>м. Київ</w:t>
      </w: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color w:val="000000"/>
          <w:w w:val="90"/>
          <w:sz w:val="20"/>
          <w:szCs w:val="20"/>
          <w:lang w:val="en-US"/>
        </w:rPr>
      </w:pPr>
    </w:p>
    <w:p w:rsidR="00875D57" w:rsidRPr="00875D57" w:rsidRDefault="00875D57" w:rsidP="00875D57">
      <w:pPr>
        <w:spacing w:after="0" w:line="240" w:lineRule="auto"/>
        <w:rPr>
          <w:rFonts w:ascii="Times New Roman" w:hAnsi="Times New Roman"/>
          <w:sz w:val="24"/>
          <w:szCs w:val="24"/>
          <w:u w:val="single"/>
        </w:rPr>
      </w:pPr>
    </w:p>
    <w:p w:rsidR="00875D57" w:rsidRPr="00875D57" w:rsidRDefault="00875D57" w:rsidP="00875D57">
      <w:pPr>
        <w:keepNext/>
        <w:spacing w:after="0"/>
        <w:outlineLvl w:val="0"/>
        <w:rPr>
          <w:rFonts w:ascii="Times New Roman" w:hAnsi="Times New Roman"/>
          <w:b/>
          <w:bCs/>
          <w:kern w:val="32"/>
          <w:sz w:val="26"/>
          <w:szCs w:val="26"/>
        </w:rPr>
      </w:pPr>
      <w:bookmarkStart w:id="13" w:name="_Toc212450077"/>
      <w:r w:rsidRPr="00875D57">
        <w:rPr>
          <w:rFonts w:ascii="Times New Roman" w:hAnsi="Times New Roman"/>
          <w:b/>
          <w:bCs/>
          <w:kern w:val="32"/>
          <w:sz w:val="26"/>
          <w:szCs w:val="26"/>
        </w:rPr>
        <w:lastRenderedPageBreak/>
        <w:t>3. Дивідендна політика</w:t>
      </w:r>
      <w:bookmarkEnd w:id="13"/>
    </w:p>
    <w:tbl>
      <w:tblPr>
        <w:tblW w:w="5000" w:type="pct"/>
        <w:tblCellMar>
          <w:left w:w="0" w:type="dxa"/>
          <w:right w:w="0" w:type="dxa"/>
        </w:tblCellMar>
        <w:tblLook w:val="0000" w:firstRow="0" w:lastRow="0" w:firstColumn="0" w:lastColumn="0" w:noHBand="0" w:noVBand="0"/>
      </w:tblPr>
      <w:tblGrid>
        <w:gridCol w:w="4159"/>
        <w:gridCol w:w="5753"/>
      </w:tblGrid>
      <w:tr w:rsidR="00875D57" w:rsidRPr="00875D57" w:rsidTr="00073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75D57">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875D57">
              <w:rPr>
                <w:rFonts w:ascii="Times New Roman" w:hAnsi="Times New Roman"/>
                <w:color w:val="000000"/>
                <w:sz w:val="20"/>
                <w:szCs w:val="24"/>
                <w:lang w:val="en-US"/>
              </w:rPr>
              <w:t>Так</w:t>
            </w:r>
          </w:p>
        </w:tc>
      </w:tr>
      <w:tr w:rsidR="00875D57" w:rsidRPr="00875D57" w:rsidTr="00073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75D57">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rPr>
            </w:pPr>
            <w:r w:rsidRPr="00875D57">
              <w:rPr>
                <w:rFonts w:ascii="Times New Roman" w:hAnsi="Times New Roman"/>
                <w:sz w:val="20"/>
                <w:szCs w:val="24"/>
                <w:lang w:val="en-US"/>
              </w:rPr>
              <w:t>Статут</w:t>
            </w:r>
          </w:p>
        </w:tc>
      </w:tr>
      <w:tr w:rsidR="00875D57" w:rsidRPr="00875D57" w:rsidTr="00073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75D57">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rPr>
            </w:pPr>
            <w:r w:rsidRPr="00875D57">
              <w:rPr>
                <w:rFonts w:ascii="Times New Roman" w:hAnsi="Times New Roman"/>
                <w:sz w:val="20"/>
                <w:szCs w:val="24"/>
                <w:lang w:val="en-US"/>
              </w:rPr>
              <w:t>Єдиний Учасник Товариства</w:t>
            </w:r>
          </w:p>
        </w:tc>
      </w:tr>
      <w:tr w:rsidR="00875D57" w:rsidRPr="00875D57" w:rsidTr="00073F6D">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75D57">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lang w:val="en-US"/>
              </w:rPr>
            </w:pPr>
            <w:r w:rsidRPr="00875D57">
              <w:rPr>
                <w:rFonts w:ascii="Times New Roman" w:hAnsi="Times New Roman"/>
                <w:sz w:val="20"/>
                <w:szCs w:val="24"/>
                <w:lang w:val="en-US"/>
              </w:rPr>
              <w:t>06.11.2024</w:t>
            </w:r>
          </w:p>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rPr>
            </w:pPr>
            <w:r w:rsidRPr="00875D57">
              <w:rPr>
                <w:rFonts w:ascii="Times New Roman" w:hAnsi="Times New Roman"/>
                <w:sz w:val="20"/>
                <w:szCs w:val="24"/>
                <w:lang w:val="en-US"/>
              </w:rPr>
              <w:t>06/11/24</w:t>
            </w:r>
          </w:p>
        </w:tc>
      </w:tr>
      <w:tr w:rsidR="00875D57" w:rsidRPr="00875D57" w:rsidTr="00073F6D">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875D57">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lang w:val="en-US"/>
              </w:rPr>
            </w:pPr>
            <w:r w:rsidRPr="00875D57">
              <w:rPr>
                <w:rFonts w:ascii="Times New Roman" w:hAnsi="Times New Roman"/>
                <w:sz w:val="20"/>
                <w:szCs w:val="24"/>
                <w:lang w:val="en-US"/>
              </w:rPr>
              <w:t>Виплата частки прибутку (дивідендів) проводиться один раз на рік за підсумками календарного року.</w:t>
            </w:r>
          </w:p>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lang w:val="en-US"/>
              </w:rPr>
            </w:pPr>
            <w:r w:rsidRPr="00875D57">
              <w:rPr>
                <w:rFonts w:ascii="Times New Roman" w:hAnsi="Times New Roman"/>
                <w:sz w:val="20"/>
                <w:szCs w:val="24"/>
                <w:lang w:val="en-US"/>
              </w:rPr>
              <w:t>Відповідні виплати сплачуються на протязі першого кварталу року, який йде після звітного року.</w:t>
            </w:r>
          </w:p>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lang w:val="en-US"/>
              </w:rPr>
            </w:pPr>
            <w:r w:rsidRPr="00875D57">
              <w:rPr>
                <w:rFonts w:ascii="Times New Roman" w:hAnsi="Times New Roman"/>
                <w:sz w:val="20"/>
                <w:szCs w:val="24"/>
                <w:lang w:val="en-US"/>
              </w:rPr>
              <w:t>Виплати здійснюються у безготівковій формі на рахунок, вказаний Учасниками.</w:t>
            </w:r>
          </w:p>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lang w:val="en-US"/>
              </w:rPr>
            </w:pPr>
            <w:r w:rsidRPr="00875D57">
              <w:rPr>
                <w:rFonts w:ascii="Times New Roman" w:hAnsi="Times New Roman"/>
                <w:sz w:val="20"/>
                <w:szCs w:val="24"/>
                <w:lang w:val="en-US"/>
              </w:rPr>
              <w:t>Умови виплати часток прибутку можуть змінюватися у відповідності з рішенням Зборів Учасників.</w:t>
            </w:r>
          </w:p>
          <w:p w:rsidR="00875D57" w:rsidRPr="00875D57" w:rsidRDefault="00875D57" w:rsidP="00875D57">
            <w:pPr>
              <w:widowControl w:val="0"/>
              <w:suppressAutoHyphens/>
              <w:autoSpaceDE w:val="0"/>
              <w:autoSpaceDN w:val="0"/>
              <w:adjustRightInd w:val="0"/>
              <w:spacing w:after="0" w:line="240" w:lineRule="auto"/>
              <w:rPr>
                <w:rFonts w:ascii="Times New Roman" w:hAnsi="Times New Roman"/>
                <w:sz w:val="20"/>
                <w:szCs w:val="24"/>
              </w:rPr>
            </w:pPr>
          </w:p>
        </w:tc>
      </w:tr>
    </w:tbl>
    <w:p w:rsidR="00875D57" w:rsidRPr="00875D57" w:rsidRDefault="00875D57" w:rsidP="00875D57"/>
    <w:p w:rsidR="00875D57" w:rsidRDefault="00875D57">
      <w:pPr>
        <w:sectPr w:rsidR="00875D57" w:rsidSect="00875D57">
          <w:pgSz w:w="11906" w:h="16838"/>
          <w:pgMar w:top="363" w:right="567" w:bottom="363" w:left="1417" w:header="709" w:footer="709" w:gutter="0"/>
          <w:cols w:space="708"/>
          <w:docGrid w:linePitch="360"/>
        </w:sectPr>
      </w:pPr>
    </w:p>
    <w:p w:rsidR="00875D57" w:rsidRPr="00875D57" w:rsidRDefault="00875D57" w:rsidP="00875D57">
      <w:pPr>
        <w:keepNext/>
        <w:spacing w:after="0"/>
        <w:outlineLvl w:val="0"/>
        <w:rPr>
          <w:rFonts w:ascii="Times New Roman" w:hAnsi="Times New Roman"/>
          <w:b/>
          <w:bCs/>
          <w:kern w:val="32"/>
          <w:sz w:val="26"/>
          <w:szCs w:val="26"/>
        </w:rPr>
      </w:pPr>
      <w:bookmarkStart w:id="14" w:name="_Toc212450078"/>
      <w:r w:rsidRPr="00875D57">
        <w:rPr>
          <w:rFonts w:ascii="Times New Roman" w:hAnsi="Times New Roman"/>
          <w:b/>
          <w:bCs/>
          <w:kern w:val="32"/>
          <w:sz w:val="26"/>
          <w:szCs w:val="26"/>
        </w:rPr>
        <w:lastRenderedPageBreak/>
        <w:t>5. Перелік посилань на внутрішні документи особи, що розміщені на вебсайті особи</w:t>
      </w:r>
      <w:bookmarkEnd w:id="14"/>
    </w:p>
    <w:tbl>
      <w:tblPr>
        <w:tblW w:w="5000" w:type="pct"/>
        <w:tblLayout w:type="fixed"/>
        <w:tblCellMar>
          <w:left w:w="0" w:type="dxa"/>
          <w:right w:w="0" w:type="dxa"/>
        </w:tblCellMar>
        <w:tblLook w:val="0000" w:firstRow="0" w:lastRow="0" w:firstColumn="0" w:lastColumn="0" w:noHBand="0" w:noVBand="0"/>
      </w:tblPr>
      <w:tblGrid>
        <w:gridCol w:w="700"/>
        <w:gridCol w:w="5223"/>
        <w:gridCol w:w="5091"/>
        <w:gridCol w:w="5088"/>
      </w:tblGrid>
      <w:tr w:rsidR="00875D57" w:rsidRPr="00875D57" w:rsidTr="00073F6D">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75D57">
              <w:rPr>
                <w:rFonts w:ascii="Times New Roman" w:hAnsi="Times New Roman"/>
                <w:b/>
                <w:color w:val="000000"/>
                <w:sz w:val="20"/>
                <w:szCs w:val="24"/>
              </w:rPr>
              <w:t>№ з/п</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75D57">
              <w:rPr>
                <w:rFonts w:ascii="Times New Roman" w:hAnsi="Times New Roman"/>
                <w:b/>
                <w:color w:val="000000"/>
                <w:sz w:val="20"/>
                <w:szCs w:val="24"/>
              </w:rPr>
              <w:t xml:space="preserve">Назва внутрішнього документа </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75D57">
              <w:rPr>
                <w:rFonts w:ascii="Times New Roman" w:hAnsi="Times New Roman"/>
                <w:b/>
                <w:color w:val="000000"/>
                <w:sz w:val="20"/>
                <w:szCs w:val="24"/>
              </w:rPr>
              <w:t xml:space="preserve">Опис ключових питань, які регулюються </w:t>
            </w:r>
            <w:r w:rsidRPr="00875D57">
              <w:rPr>
                <w:rFonts w:ascii="Times New Roman" w:hAnsi="Times New Roman"/>
                <w:b/>
                <w:color w:val="000000"/>
                <w:sz w:val="20"/>
                <w:szCs w:val="24"/>
              </w:rPr>
              <w:br/>
              <w:t>внутрішнім документом</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75D57">
              <w:rPr>
                <w:rFonts w:ascii="Times New Roman" w:hAnsi="Times New Roman"/>
                <w:b/>
                <w:color w:val="000000"/>
                <w:sz w:val="20"/>
                <w:szCs w:val="24"/>
              </w:rPr>
              <w:t xml:space="preserve">URL-адреса вебсайту особи, за якою розміщено </w:t>
            </w:r>
            <w:r w:rsidRPr="00875D57">
              <w:rPr>
                <w:rFonts w:ascii="Times New Roman" w:hAnsi="Times New Roman"/>
                <w:b/>
                <w:color w:val="000000"/>
                <w:sz w:val="20"/>
                <w:szCs w:val="24"/>
              </w:rPr>
              <w:br/>
              <w:t>внутрішній документ</w:t>
            </w:r>
          </w:p>
        </w:tc>
      </w:tr>
      <w:tr w:rsidR="00875D57" w:rsidRPr="00875D57" w:rsidTr="00073F6D">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875D57">
              <w:rPr>
                <w:rFonts w:ascii="Times New Roman" w:hAnsi="Times New Roman"/>
                <w:b/>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75D57">
              <w:rPr>
                <w:rFonts w:ascii="Times New Roman" w:hAnsi="Times New Roman"/>
                <w:b/>
                <w:color w:val="000000"/>
                <w:sz w:val="20"/>
                <w:szCs w:val="24"/>
                <w:lang w:val="en-US"/>
              </w:rPr>
              <w:t xml:space="preserve">                                                </w:t>
            </w:r>
            <w:r w:rsidRPr="00875D57">
              <w:rPr>
                <w:rFonts w:ascii="Times New Roman" w:hAnsi="Times New Roman"/>
                <w:b/>
                <w:color w:val="000000"/>
                <w:sz w:val="20"/>
                <w:szCs w:val="24"/>
              </w:rPr>
              <w:t>2</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75D57">
              <w:rPr>
                <w:rFonts w:ascii="Times New Roman" w:hAnsi="Times New Roman"/>
                <w:b/>
                <w:color w:val="000000"/>
                <w:sz w:val="20"/>
                <w:szCs w:val="24"/>
                <w:lang w:val="en-US"/>
              </w:rPr>
              <w:t xml:space="preserve">                                                 </w:t>
            </w:r>
            <w:r w:rsidRPr="00875D57">
              <w:rPr>
                <w:rFonts w:ascii="Times New Roman" w:hAnsi="Times New Roman"/>
                <w:b/>
                <w:color w:val="000000"/>
                <w:sz w:val="20"/>
                <w:szCs w:val="24"/>
              </w:rPr>
              <w:t>3</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875D57">
              <w:rPr>
                <w:rFonts w:ascii="Times New Roman" w:hAnsi="Times New Roman"/>
                <w:b/>
                <w:color w:val="000000"/>
                <w:sz w:val="20"/>
                <w:szCs w:val="24"/>
                <w:lang w:val="en-US"/>
              </w:rPr>
              <w:t xml:space="preserve">                                                  </w:t>
            </w:r>
            <w:r w:rsidRPr="00875D57">
              <w:rPr>
                <w:rFonts w:ascii="Times New Roman" w:hAnsi="Times New Roman"/>
                <w:b/>
                <w:color w:val="000000"/>
                <w:sz w:val="20"/>
                <w:szCs w:val="24"/>
              </w:rPr>
              <w:t>4</w:t>
            </w:r>
          </w:p>
        </w:tc>
      </w:tr>
      <w:tr w:rsidR="00875D57" w:rsidRPr="00875D57" w:rsidTr="00073F6D">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75D57">
              <w:rPr>
                <w:rFonts w:ascii="Times New Roman" w:hAnsi="Times New Roman"/>
                <w:color w:val="000000"/>
                <w:sz w:val="20"/>
                <w:szCs w:val="24"/>
              </w:rPr>
              <w:t>1</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ВНУТРІШНІ ПРАВИЛА  НАДАННЯ ПОСЛУГ З ФАКТОРИНГУ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Надання Товариством фінансової послуги факторингу регламентується на підставі Договору факторингу, що укладається тільки в письмовій формі та яким визначаються взаємні зобов'язання та відповідальність сторін що не можуть змінюватись в односторонньому порядку без згоди обох сторін.</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Рішення про укладення Договору факторингу приймається уповноваженим органом на підставі звернення Клієнта та аналізу предмету Договору факторингу.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Строк прийняття рішення про укладення Договору факторингу не може перевищувати 20 робочих днів, але, у випадку складності предмету Договору факторингу та в залежності від суми Договору факторингу, може бути збільшений за рішенням Директора.</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xml:space="preserve">Рішення про укладення Договору факторингу приймається на підставі документа, що підтверджує право вимоги. </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при наданні послуг з факторингу дотримується вимог законодавства щодо готівкових розрахунків, установлених законодавством України.</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Контроль фактичного виконання Договорів факторингу передбачає облік отриманих грошових коштів від Боржника з використанням регістрів бухгалтерського обліку.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xml:space="preserve">Договори факторингу з моменту їх підписання (укладання) і до передачі їх в архів Товариства зберігаються за місцем їх формування в справах. Справи повинні перебувати у робочих кімнатах або спеціально відведених для цієї мети приміщеннях, у шафах і столах, що зачиняються. Формування документації за договором факторингу здійснюється з урахуванням внутрішніх нормативних документів Товариства, якими визначено орієнтовний перелік документів, що мають входити до </w:t>
            </w:r>
            <w:r w:rsidRPr="00875D57">
              <w:rPr>
                <w:rFonts w:ascii="Times New Roman" w:hAnsi="Times New Roman"/>
                <w:color w:val="000000"/>
                <w:sz w:val="20"/>
                <w:szCs w:val="24"/>
                <w:lang w:val="en-US"/>
              </w:rPr>
              <w:lastRenderedPageBreak/>
              <w:t>такої справи.</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та наявних внутрішніх регламентуючих документів.</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Порядок взаємодії підрозділів Товариства щодо здійснення ефективного внутрішнього контролю визначається внутрішніми трудовими документами, посадовими інструкціями та трудовими договорами і договорами цивільно-правового характеру.</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lastRenderedPageBreak/>
              <w:t>https://a-finance.in.ua/publichna-informatsiia/</w:t>
            </w:r>
          </w:p>
        </w:tc>
      </w:tr>
      <w:tr w:rsidR="00875D57" w:rsidRPr="00875D57" w:rsidTr="00073F6D">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75D57">
              <w:rPr>
                <w:rFonts w:ascii="Times New Roman" w:hAnsi="Times New Roman"/>
                <w:color w:val="000000"/>
                <w:sz w:val="20"/>
                <w:szCs w:val="24"/>
              </w:rPr>
              <w:lastRenderedPageBreak/>
              <w:t>2</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ВНУТРІШНІ ПРАВИЛА НАДАННЯ ПОСЛУГ ФІНАНСОВОГО ЛІЗИНГУ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Рішення про укладення Товариством Договору фінансового лізингу приймається уповноваженим органом Товариства на підставі відповідного замовлення Клієнта, який звернувся до Товариства за отриманням послуги з фінансового лізингу, та за результатами оцінки та аналізу Товариством:</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фінансової спроможності, ділової репутації, лізингової/кредитної історії такої особи;</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документів, необхідних для здійснення належної перевірки Клієнта відповідно до внутрішніх документів Товариства з питань фінансового моніторингу;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правового аналізу наявності у особи та її представника (за наявності) прав/повноважень на укладення відповідного Договору фінансового лізингу;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можливості укладення Договору фінансового лізингу щодо обраного Клієнтом, який звернувся за отриманням послуги фінансового лізингу, Об’єкта лізингу та можливих умов фінансування.</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Відповідна оцінка та аналіз здійснюється Товариством на підставі достатньої інформації, отриманої від Клієнта, який звернувся до Товариства за отриманням послуги з фінансового лізингу, та (за необхідності) на підставі інформації, отриманої з інших джерел відповідно до законодавства.</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xml:space="preserve">Крім того, на етапі прийняття рішення про укладення Товариством Договору фінансового лізингу та у процесі виконання в подальшому такого договору Товариство </w:t>
            </w:r>
            <w:r w:rsidRPr="00875D57">
              <w:rPr>
                <w:rFonts w:ascii="Times New Roman" w:hAnsi="Times New Roman"/>
                <w:color w:val="000000"/>
                <w:sz w:val="20"/>
                <w:szCs w:val="24"/>
                <w:lang w:val="en-US"/>
              </w:rPr>
              <w:lastRenderedPageBreak/>
              <w:t>вживає передбачені чинним законодавством України та внутрішніми документами Товариства заходи щодо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Після аналізу вказаної інформації Товариство інформує Клієнта, який звернувся до Товариства за отриманням послуги з фінансового лізингу, про прийняте рішення. Товариство відмовляє особі в укладенні Договору фінансового лізингу у разі ненадання нею документів чи відомостей про себе та/або свій фінансовий стан, що вимагаються згідно із законодавством та/або внутрішніми документами Товариства. У випадку прийняття позитивного рішення Товариство надає Клієнту, який звернувся за отриманням послуги з фінансового лізингу, пропозицію щодо умов надання Товариством цієї послуги відносно обраного Об’єкта лізингу.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Керівники та працівники Товариства забезпечують конфіденційність інформації, що надається Клієнтом та становить його комерційну або професійну таємницю.</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Облікова та реєструюча система Товариства забезпечує формування інформації та складання звітності Товариства.</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lastRenderedPageBreak/>
              <w:t>https://a-finance.in.ua/publichna-informatsiia/</w:t>
            </w:r>
          </w:p>
        </w:tc>
      </w:tr>
      <w:tr w:rsidR="00875D57" w:rsidRPr="00875D57" w:rsidTr="00073F6D">
        <w:trPr>
          <w:trHeight w:val="60"/>
        </w:trPr>
        <w:tc>
          <w:tcPr>
            <w:tcW w:w="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875D57">
              <w:rPr>
                <w:rFonts w:ascii="Times New Roman" w:hAnsi="Times New Roman"/>
                <w:color w:val="000000"/>
                <w:sz w:val="20"/>
                <w:szCs w:val="24"/>
              </w:rPr>
              <w:lastRenderedPageBreak/>
              <w:t>3</w:t>
            </w:r>
          </w:p>
        </w:tc>
        <w:tc>
          <w:tcPr>
            <w:tcW w:w="16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ВНУТРІШНІ ПРАВИЛА  НАДАННЯ КОШТІВ У КРЕДИТ ТОВАРИСТВОМ З ОБМЕЖЕНОЮ ВІДПОВІДАЛЬНІСТЮ "ФІНАНСОВА КОМПАНІЯ "А-ФІНАНС"</w:t>
            </w:r>
          </w:p>
        </w:tc>
        <w:tc>
          <w:tcPr>
            <w:tcW w:w="15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При проведенні кредитної політики, Товариство виходить з необхідності забезпечення поєднання інтересів Товариства, його учасників та клієнтів. Товариство самостійно визначає порядок проведення кредитних операцій, розмір процентної ставки і плати, комісій за надання та обслуговування кредиту.</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надає кредити всім суб'єктам господарської діяльності (незалежно від їх галузевої приналежності, статусу, форм власності) та фізичним особам у разі наявності в них реальних можливостей</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забезпечення своєчасного повернення кредиту та сплати процентів (комісійних) за користування кредитом.</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xml:space="preserve">Товариство спеціалізується на автокредитуванні фізичних осіб (надання кредитів під заставу </w:t>
            </w:r>
            <w:r w:rsidRPr="00875D57">
              <w:rPr>
                <w:rFonts w:ascii="Times New Roman" w:hAnsi="Times New Roman"/>
                <w:color w:val="000000"/>
                <w:sz w:val="20"/>
                <w:szCs w:val="24"/>
                <w:lang w:val="en-US"/>
              </w:rPr>
              <w:lastRenderedPageBreak/>
              <w:t xml:space="preserve">транспортних засобів та/або купівлю транспортних засобів, в тому числі з подальшою їх заставою або без такої). Дана спеціалізація ніяким чином не позбавляє Товариство можливості надавати кредити на інші потреби та цілі відповідно до цих Правил, прийнятих рішень та внутрішніх політик Товариства (за наявності). Основними умовами надання кредиту є: зворотність, строковість, платність та цільове використання. В окремих випадках, передбачених Договором та/або прийнятих Товариством рішень, кредити повинні бути забезпечені. </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 xml:space="preserve">Відносини з надання фінансових послуг з надання коштів у кредит між Товариством та Клієнтами визначаються на договірних засадах, шляхом укладання у письмовій формі договору про надання коштів у кредит (кредитний договір), який містить визначені законодавством умови, обов’язкові для такого виду договорів. </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забезпечує клієнтам право доступу до інформації щодо діяльності Товариства в обсязі, передбаченому чинним законодавством.</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безоплатно надає актуальну інформацію, у тому числі щодо своєї фінансової діяльності, шляхом її розміщення на власному Веб-сайті Товариства.</w:t>
            </w:r>
          </w:p>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t>Товариство запроваджує систему внутрішнього контролю, адекватну характеру та масштабу її діяльності, метою якої є перевірка того, що операції здійснюються лише у суворій відповідності до чинного законодавства, статуту Товариства, Правил надання коштів у кредит та наявних внутрішніх регламентуючих документів.</w:t>
            </w:r>
          </w:p>
        </w:tc>
        <w:tc>
          <w:tcPr>
            <w:tcW w:w="158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875D57" w:rsidRPr="00875D57" w:rsidRDefault="00875D57" w:rsidP="00875D57">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875D57">
              <w:rPr>
                <w:rFonts w:ascii="Times New Roman" w:hAnsi="Times New Roman"/>
                <w:color w:val="000000"/>
                <w:sz w:val="20"/>
                <w:szCs w:val="24"/>
                <w:lang w:val="en-US"/>
              </w:rPr>
              <w:lastRenderedPageBreak/>
              <w:t>https://a-finance.in.ua/publichna-informatsiia/</w:t>
            </w:r>
          </w:p>
        </w:tc>
      </w:tr>
    </w:tbl>
    <w:p w:rsidR="00875D57" w:rsidRPr="00875D57" w:rsidRDefault="00875D57" w:rsidP="00875D57">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875D57" w:rsidRPr="00875D57" w:rsidRDefault="00875D57" w:rsidP="00875D57"/>
    <w:p w:rsidR="00875D57" w:rsidRDefault="00875D57">
      <w:pPr>
        <w:sectPr w:rsidR="00875D57" w:rsidSect="00875D57">
          <w:pgSz w:w="16838" w:h="11906" w:orient="landscape"/>
          <w:pgMar w:top="567" w:right="363" w:bottom="567" w:left="363" w:header="709" w:footer="709" w:gutter="0"/>
          <w:cols w:space="708"/>
          <w:docGrid w:linePitch="360"/>
        </w:sectPr>
      </w:pPr>
    </w:p>
    <w:p w:rsidR="00875D57" w:rsidRPr="00875D57" w:rsidRDefault="00875D57" w:rsidP="00875D5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297"/>
        <w:gridCol w:w="426"/>
        <w:gridCol w:w="1233"/>
        <w:gridCol w:w="675"/>
        <w:gridCol w:w="676"/>
        <w:gridCol w:w="676"/>
      </w:tblGrid>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gridSpan w:val="3"/>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r w:rsidRPr="00875D57">
              <w:rPr>
                <w:rFonts w:ascii="Times New Roman" w:hAnsi="Times New Roman"/>
                <w:sz w:val="18"/>
                <w:szCs w:val="18"/>
                <w:lang w:eastAsia="ru-RU"/>
              </w:rPr>
              <w:t>Коди</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gridSpan w:val="3"/>
          </w:tcPr>
          <w:p w:rsidR="00875D57" w:rsidRPr="00875D57" w:rsidRDefault="00875D57" w:rsidP="00875D57">
            <w:pPr>
              <w:widowControl w:val="0"/>
              <w:spacing w:after="0" w:line="240" w:lineRule="auto"/>
              <w:jc w:val="center"/>
              <w:rPr>
                <w:rFonts w:ascii="Times New Roman" w:hAnsi="Times New Roman"/>
                <w:sz w:val="16"/>
                <w:szCs w:val="16"/>
                <w:lang w:val="ru-RU" w:eastAsia="ru-RU"/>
              </w:rPr>
            </w:pPr>
            <w:r w:rsidRPr="00875D5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en-US" w:eastAsia="ru-RU"/>
              </w:rPr>
            </w:pPr>
            <w:r w:rsidRPr="00875D57">
              <w:rPr>
                <w:rFonts w:ascii="Times New Roman" w:hAnsi="Times New Roman"/>
                <w:sz w:val="18"/>
                <w:szCs w:val="18"/>
                <w:lang w:eastAsia="ru-RU"/>
              </w:rPr>
              <w:t xml:space="preserve">Підприємство  </w:t>
            </w:r>
            <w:r w:rsidRPr="00875D57">
              <w:rPr>
                <w:rFonts w:ascii="Times New Roman" w:hAnsi="Times New Roman"/>
                <w:sz w:val="18"/>
                <w:szCs w:val="18"/>
                <w:lang w:val="en-US" w:eastAsia="ru-RU"/>
              </w:rPr>
              <w:t xml:space="preserve"> </w:t>
            </w:r>
            <w:r w:rsidRPr="00875D57">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gridSpan w:val="3"/>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43064717</w:t>
            </w:r>
          </w:p>
        </w:tc>
      </w:tr>
      <w:tr w:rsidR="00875D57" w:rsidRPr="00875D57" w:rsidTr="00073F6D">
        <w:trPr>
          <w:trHeight w:val="199"/>
        </w:trPr>
        <w:tc>
          <w:tcPr>
            <w:tcW w:w="6082" w:type="dxa"/>
          </w:tcPr>
          <w:p w:rsidR="00875D57" w:rsidRPr="00875D57" w:rsidRDefault="00875D57" w:rsidP="00875D57">
            <w:pPr>
              <w:widowControl w:val="0"/>
              <w:spacing w:after="0" w:line="240" w:lineRule="auto"/>
              <w:rPr>
                <w:rFonts w:ascii="Times New Roman" w:hAnsi="Times New Roman"/>
                <w:sz w:val="18"/>
                <w:szCs w:val="18"/>
                <w:lang w:val="en-US" w:eastAsia="ru-RU"/>
              </w:rPr>
            </w:pPr>
            <w:r w:rsidRPr="00875D57">
              <w:rPr>
                <w:rFonts w:ascii="Times New Roman" w:hAnsi="Times New Roman"/>
                <w:sz w:val="18"/>
                <w:szCs w:val="18"/>
                <w:lang w:eastAsia="ru-RU"/>
              </w:rPr>
              <w:t xml:space="preserve">Територія </w:t>
            </w:r>
            <w:r w:rsidRPr="00875D57">
              <w:rPr>
                <w:rFonts w:ascii="Times New Roman" w:hAnsi="Times New Roman"/>
                <w:sz w:val="18"/>
                <w:szCs w:val="18"/>
                <w:lang w:val="en-US" w:eastAsia="ru-RU"/>
              </w:rPr>
              <w:t xml:space="preserve"> </w:t>
            </w:r>
            <w:r w:rsidRPr="00875D57">
              <w:rPr>
                <w:rFonts w:ascii="Times New Roman" w:hAnsi="Times New Roman"/>
                <w:sz w:val="18"/>
                <w:szCs w:val="18"/>
                <w:u w:val="single"/>
                <w:lang w:val="en-US" w:eastAsia="ru-RU"/>
              </w:rPr>
              <w:t>ПЕЧЕРСЬКИЙ</w:t>
            </w:r>
          </w:p>
        </w:tc>
        <w:tc>
          <w:tcPr>
            <w:tcW w:w="1956" w:type="dxa"/>
            <w:gridSpan w:val="3"/>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 xml:space="preserve">за </w:t>
            </w:r>
            <w:r w:rsidRPr="00875D57">
              <w:rPr>
                <w:rFonts w:ascii="Times New Roman" w:hAnsi="Times New Roman"/>
                <w:sz w:val="18"/>
                <w:szCs w:val="18"/>
                <w:lang w:val="ru-RU" w:eastAsia="ru-RU"/>
              </w:rPr>
              <w:t>КАТОТТГ</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UA80000000000624772</w:t>
            </w:r>
          </w:p>
        </w:tc>
      </w:tr>
      <w:tr w:rsidR="00875D57" w:rsidRPr="00875D57" w:rsidTr="00073F6D">
        <w:trPr>
          <w:trHeight w:val="199"/>
        </w:trPr>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Організаційно-правова форма господарювання</w:t>
            </w:r>
            <w:r w:rsidRPr="00875D57">
              <w:rPr>
                <w:rFonts w:ascii="Times New Roman" w:hAnsi="Times New Roman"/>
                <w:sz w:val="18"/>
                <w:szCs w:val="18"/>
                <w:lang w:val="ru-RU" w:eastAsia="ru-RU"/>
              </w:rPr>
              <w:t xml:space="preserve">  </w:t>
            </w:r>
            <w:r w:rsidRPr="00875D57">
              <w:rPr>
                <w:rFonts w:ascii="Times New Roman" w:hAnsi="Times New Roman"/>
                <w:sz w:val="18"/>
                <w:szCs w:val="18"/>
                <w:u w:val="single"/>
                <w:lang w:val="en-US" w:eastAsia="ru-RU"/>
              </w:rPr>
              <w:t>ТОВАРИСТВО З ОБМЕЖЕНОЮ ВIДПОВIДАЛЬНIСТЮ</w:t>
            </w:r>
          </w:p>
        </w:tc>
        <w:tc>
          <w:tcPr>
            <w:tcW w:w="1956" w:type="dxa"/>
            <w:gridSpan w:val="3"/>
          </w:tcPr>
          <w:p w:rsidR="00875D57" w:rsidRPr="00875D57" w:rsidRDefault="00875D57" w:rsidP="00875D57">
            <w:pPr>
              <w:widowControl w:val="0"/>
              <w:spacing w:after="0" w:line="240" w:lineRule="auto"/>
              <w:rPr>
                <w:rFonts w:ascii="Times New Roman" w:hAnsi="Times New Roman"/>
                <w:sz w:val="18"/>
                <w:szCs w:val="18"/>
                <w:lang w:eastAsia="ru-RU"/>
              </w:rPr>
            </w:pPr>
            <w:r w:rsidRPr="00875D57">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240</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en-US" w:eastAsia="ru-RU"/>
              </w:rPr>
            </w:pPr>
            <w:r w:rsidRPr="00875D57">
              <w:rPr>
                <w:rFonts w:ascii="Times New Roman" w:hAnsi="Times New Roman"/>
                <w:sz w:val="18"/>
                <w:szCs w:val="18"/>
                <w:lang w:val="ru-RU" w:eastAsia="ru-RU"/>
              </w:rPr>
              <w:t xml:space="preserve">Вид економічної діяльності </w:t>
            </w:r>
            <w:r w:rsidRPr="00875D57">
              <w:rPr>
                <w:rFonts w:ascii="Times New Roman" w:hAnsi="Times New Roman"/>
                <w:sz w:val="18"/>
                <w:szCs w:val="18"/>
                <w:lang w:val="en-US" w:eastAsia="ru-RU"/>
              </w:rPr>
              <w:t xml:space="preserve"> </w:t>
            </w:r>
            <w:r w:rsidRPr="00875D57">
              <w:rPr>
                <w:rFonts w:ascii="Times New Roman" w:hAnsi="Times New Roman"/>
                <w:sz w:val="18"/>
                <w:szCs w:val="18"/>
                <w:u w:val="single"/>
                <w:lang w:val="en-US" w:eastAsia="ru-RU"/>
              </w:rPr>
              <w:t>ІНШІ ВИДИ КРЕДИТУВАННЯ</w:t>
            </w:r>
          </w:p>
        </w:tc>
        <w:tc>
          <w:tcPr>
            <w:tcW w:w="1956" w:type="dxa"/>
            <w:gridSpan w:val="3"/>
            <w:tcBorders>
              <w:top w:val="nil"/>
              <w:left w:val="nil"/>
              <w:bottom w:val="nil"/>
              <w:right w:val="single" w:sz="4" w:space="0" w:color="auto"/>
            </w:tcBorders>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64.92</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val="ru-RU" w:eastAsia="ru-RU"/>
              </w:rPr>
              <w:t>Середн</w:t>
            </w:r>
            <w:r w:rsidRPr="00875D57">
              <w:rPr>
                <w:rFonts w:ascii="Times New Roman" w:hAnsi="Times New Roman"/>
                <w:sz w:val="18"/>
                <w:szCs w:val="18"/>
                <w:lang w:eastAsia="ru-RU"/>
              </w:rPr>
              <w:t>я кількість працівників</w:t>
            </w:r>
            <w:r w:rsidRPr="00875D57">
              <w:rPr>
                <w:rFonts w:ascii="Times New Roman" w:hAnsi="Times New Roman"/>
                <w:sz w:val="18"/>
                <w:szCs w:val="18"/>
                <w:lang w:val="ru-RU" w:eastAsia="ru-RU"/>
              </w:rPr>
              <w:t xml:space="preserve">  </w:t>
            </w:r>
            <w:r w:rsidRPr="00875D57">
              <w:rPr>
                <w:rFonts w:ascii="Times New Roman" w:hAnsi="Times New Roman"/>
                <w:sz w:val="18"/>
                <w:szCs w:val="18"/>
                <w:u w:val="single"/>
                <w:lang w:val="en-US" w:eastAsia="ru-RU"/>
              </w:rPr>
              <w:t>28</w:t>
            </w:r>
          </w:p>
        </w:tc>
        <w:tc>
          <w:tcPr>
            <w:tcW w:w="1956" w:type="dxa"/>
            <w:gridSpan w:val="3"/>
          </w:tcPr>
          <w:p w:rsidR="00875D57" w:rsidRPr="00875D57" w:rsidRDefault="00875D57" w:rsidP="00875D57">
            <w:pPr>
              <w:widowControl w:val="0"/>
              <w:spacing w:after="0" w:line="240" w:lineRule="auto"/>
              <w:rPr>
                <w:rFonts w:ascii="Times New Roman" w:hAnsi="Times New Roman"/>
                <w:sz w:val="18"/>
                <w:szCs w:val="18"/>
                <w:lang w:eastAsia="ru-RU"/>
              </w:rPr>
            </w:pPr>
          </w:p>
        </w:tc>
        <w:tc>
          <w:tcPr>
            <w:tcW w:w="2027" w:type="dxa"/>
            <w:gridSpan w:val="3"/>
            <w:tcBorders>
              <w:top w:val="single" w:sz="4"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Одиниця виміру</w:t>
            </w:r>
            <w:r w:rsidRPr="00875D57">
              <w:rPr>
                <w:rFonts w:ascii="Times New Roman" w:hAnsi="Times New Roman"/>
                <w:noProof/>
                <w:sz w:val="18"/>
                <w:szCs w:val="18"/>
                <w:lang w:val="ru-RU" w:eastAsia="ru-RU"/>
              </w:rPr>
              <w:t xml:space="preserve"> :</w:t>
            </w:r>
            <w:r w:rsidRPr="00875D57">
              <w:rPr>
                <w:rFonts w:ascii="Times New Roman" w:hAnsi="Times New Roman"/>
                <w:sz w:val="18"/>
                <w:szCs w:val="18"/>
                <w:lang w:eastAsia="ru-RU"/>
              </w:rPr>
              <w:t xml:space="preserve"> тис. грн.</w:t>
            </w:r>
          </w:p>
        </w:tc>
        <w:tc>
          <w:tcPr>
            <w:tcW w:w="1956" w:type="dxa"/>
            <w:gridSpan w:val="3"/>
            <w:tcBorders>
              <w:top w:val="nil"/>
              <w:left w:val="nil"/>
              <w:bottom w:val="nil"/>
            </w:tcBorders>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2027" w:type="dxa"/>
            <w:gridSpan w:val="3"/>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en-US" w:eastAsia="ru-RU"/>
              </w:rPr>
            </w:pPr>
            <w:r w:rsidRPr="00875D57">
              <w:rPr>
                <w:rFonts w:ascii="Times New Roman" w:hAnsi="Times New Roman"/>
                <w:sz w:val="18"/>
                <w:szCs w:val="18"/>
                <w:lang w:val="ru-RU" w:eastAsia="ru-RU"/>
              </w:rPr>
              <w:t>Адреса</w:t>
            </w:r>
            <w:r w:rsidRPr="00875D57">
              <w:rPr>
                <w:rFonts w:ascii="Times New Roman" w:hAnsi="Times New Roman"/>
                <w:sz w:val="18"/>
                <w:szCs w:val="18"/>
                <w:lang w:eastAsia="ru-RU"/>
              </w:rPr>
              <w:t>, телефон</w:t>
            </w:r>
            <w:r w:rsidRPr="00875D57">
              <w:rPr>
                <w:rFonts w:ascii="Times New Roman" w:hAnsi="Times New Roman"/>
                <w:sz w:val="18"/>
                <w:szCs w:val="18"/>
                <w:lang w:val="ru-RU" w:eastAsia="ru-RU"/>
              </w:rPr>
              <w:t xml:space="preserve"> </w:t>
            </w:r>
            <w:r w:rsidRPr="00875D57">
              <w:rPr>
                <w:rFonts w:ascii="Times New Roman" w:hAnsi="Times New Roman"/>
                <w:sz w:val="18"/>
                <w:szCs w:val="18"/>
                <w:u w:val="single"/>
                <w:lang w:val="en-US" w:eastAsia="ru-RU"/>
              </w:rPr>
              <w:t>, т.</w:t>
            </w:r>
          </w:p>
          <w:p w:rsidR="00875D57" w:rsidRPr="00875D57" w:rsidRDefault="00875D57" w:rsidP="00875D57">
            <w:pPr>
              <w:widowControl w:val="0"/>
              <w:spacing w:after="0" w:line="240" w:lineRule="auto"/>
              <w:rPr>
                <w:rFonts w:ascii="Times New Roman" w:hAnsi="Times New Roman"/>
                <w:sz w:val="18"/>
                <w:szCs w:val="18"/>
                <w:lang w:eastAsia="ru-RU"/>
              </w:rPr>
            </w:pPr>
          </w:p>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Складено (зробити позначку "v" у відповідній клітинці):</w:t>
            </w:r>
          </w:p>
        </w:tc>
        <w:tc>
          <w:tcPr>
            <w:tcW w:w="1956" w:type="dxa"/>
            <w:gridSpan w:val="3"/>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2027" w:type="dxa"/>
            <w:gridSpan w:val="3"/>
            <w:tcBorders>
              <w:left w:val="nil"/>
              <w:right w:val="nil"/>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r>
      <w:tr w:rsidR="00875D57" w:rsidRPr="00875D57" w:rsidTr="00073F6D">
        <w:trPr>
          <w:gridAfter w:val="4"/>
          <w:wAfter w:w="3260" w:type="dxa"/>
        </w:trPr>
        <w:tc>
          <w:tcPr>
            <w:tcW w:w="6082" w:type="dxa"/>
          </w:tcPr>
          <w:p w:rsidR="00875D57" w:rsidRPr="00875D57" w:rsidRDefault="00875D57" w:rsidP="00875D57">
            <w:pPr>
              <w:widowControl w:val="0"/>
              <w:spacing w:after="0" w:line="240" w:lineRule="auto"/>
              <w:rPr>
                <w:rFonts w:ascii="Times New Roman" w:hAnsi="Times New Roman"/>
                <w:sz w:val="20"/>
                <w:szCs w:val="20"/>
                <w:lang w:val="ru-RU" w:eastAsia="ru-RU"/>
              </w:rPr>
            </w:pPr>
            <w:r w:rsidRPr="00875D57">
              <w:rPr>
                <w:rFonts w:ascii="Times New Roman" w:hAnsi="Times New Roman"/>
                <w:sz w:val="18"/>
                <w:szCs w:val="18"/>
                <w:lang w:val="ru-RU" w:eastAsia="ru-RU"/>
              </w:rPr>
              <w:t xml:space="preserve">за </w:t>
            </w:r>
            <w:r w:rsidRPr="00875D57">
              <w:rPr>
                <w:rFonts w:ascii="Times New Roman" w:hAnsi="Times New Roman"/>
                <w:sz w:val="18"/>
                <w:szCs w:val="18"/>
                <w:lang w:eastAsia="ru-RU"/>
              </w:rPr>
              <w:t xml:space="preserve">національними </w:t>
            </w:r>
            <w:r w:rsidRPr="00875D57">
              <w:rPr>
                <w:rFonts w:ascii="Times New Roman" w:hAnsi="Times New Roman"/>
                <w:sz w:val="18"/>
                <w:szCs w:val="18"/>
                <w:lang w:val="ru-RU" w:eastAsia="ru-RU"/>
              </w:rPr>
              <w:t>положеннями (стандартами) бухгалтерського обліку</w:t>
            </w:r>
          </w:p>
        </w:tc>
        <w:tc>
          <w:tcPr>
            <w:tcW w:w="297" w:type="dxa"/>
            <w:tcBorders>
              <w:left w:val="nil"/>
              <w:right w:val="single" w:sz="4" w:space="0" w:color="auto"/>
            </w:tcBorders>
          </w:tcPr>
          <w:p w:rsidR="00875D57" w:rsidRPr="00875D57" w:rsidRDefault="00875D57" w:rsidP="00875D57">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875D57" w:rsidRPr="00875D57" w:rsidRDefault="00875D57" w:rsidP="00875D57">
            <w:pPr>
              <w:widowControl w:val="0"/>
              <w:spacing w:after="0" w:line="240" w:lineRule="auto"/>
              <w:jc w:val="center"/>
              <w:rPr>
                <w:rFonts w:ascii="Times New Roman" w:hAnsi="Times New Roman"/>
                <w:sz w:val="20"/>
                <w:szCs w:val="20"/>
                <w:lang w:val="en-US" w:eastAsia="ru-RU"/>
              </w:rPr>
            </w:pPr>
            <w:r w:rsidRPr="00875D57">
              <w:rPr>
                <w:rFonts w:ascii="Times New Roman" w:hAnsi="Times New Roman"/>
                <w:sz w:val="20"/>
                <w:szCs w:val="20"/>
                <w:lang w:val="en-US" w:eastAsia="ru-RU"/>
              </w:rPr>
              <w:t xml:space="preserve"> </w:t>
            </w:r>
          </w:p>
        </w:tc>
      </w:tr>
      <w:tr w:rsidR="00875D57" w:rsidRPr="00875D57" w:rsidTr="00073F6D">
        <w:trPr>
          <w:gridAfter w:val="4"/>
          <w:wAfter w:w="3260" w:type="dxa"/>
        </w:trPr>
        <w:tc>
          <w:tcPr>
            <w:tcW w:w="6082" w:type="dxa"/>
          </w:tcPr>
          <w:p w:rsidR="00875D57" w:rsidRPr="00875D57" w:rsidRDefault="00875D57" w:rsidP="00875D57">
            <w:pPr>
              <w:widowControl w:val="0"/>
              <w:spacing w:after="0" w:line="240" w:lineRule="auto"/>
              <w:rPr>
                <w:rFonts w:ascii="Times New Roman" w:hAnsi="Times New Roman"/>
                <w:sz w:val="20"/>
                <w:szCs w:val="20"/>
                <w:lang w:val="ru-RU" w:eastAsia="ru-RU"/>
              </w:rPr>
            </w:pPr>
            <w:r w:rsidRPr="00875D57">
              <w:rPr>
                <w:rFonts w:ascii="Times New Roman" w:hAnsi="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875D57" w:rsidRPr="00875D57" w:rsidRDefault="00875D57" w:rsidP="00875D57">
            <w:pPr>
              <w:widowControl w:val="0"/>
              <w:spacing w:after="0" w:line="240" w:lineRule="auto"/>
              <w:rPr>
                <w:rFonts w:ascii="Times New Roman" w:hAnsi="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875D57" w:rsidRPr="00875D57" w:rsidRDefault="00875D57" w:rsidP="00875D57">
            <w:pPr>
              <w:widowControl w:val="0"/>
              <w:spacing w:after="0" w:line="240" w:lineRule="auto"/>
              <w:jc w:val="center"/>
              <w:rPr>
                <w:rFonts w:ascii="Times New Roman" w:hAnsi="Times New Roman"/>
                <w:sz w:val="20"/>
                <w:szCs w:val="20"/>
                <w:lang w:val="en-US" w:eastAsia="ru-RU"/>
              </w:rPr>
            </w:pPr>
            <w:r w:rsidRPr="00875D57">
              <w:rPr>
                <w:rFonts w:ascii="Times New Roman" w:hAnsi="Times New Roman"/>
                <w:sz w:val="20"/>
                <w:szCs w:val="20"/>
                <w:lang w:val="en-US" w:eastAsia="ru-RU"/>
              </w:rPr>
              <w:t>V</w:t>
            </w:r>
          </w:p>
        </w:tc>
      </w:tr>
    </w:tbl>
    <w:p w:rsidR="00875D57" w:rsidRPr="00875D57" w:rsidRDefault="00875D57" w:rsidP="00875D57">
      <w:pPr>
        <w:widowControl w:val="0"/>
        <w:spacing w:after="0" w:line="240" w:lineRule="auto"/>
        <w:jc w:val="center"/>
        <w:rPr>
          <w:rFonts w:ascii="Times New Roman" w:hAnsi="Times New Roman"/>
          <w:b/>
          <w:bCs/>
          <w:lang w:eastAsia="ru-RU"/>
        </w:rPr>
      </w:pPr>
    </w:p>
    <w:p w:rsidR="00875D57" w:rsidRPr="00875D57" w:rsidRDefault="00875D57" w:rsidP="00875D57">
      <w:pPr>
        <w:widowControl w:val="0"/>
        <w:spacing w:after="0" w:line="240" w:lineRule="auto"/>
        <w:jc w:val="center"/>
        <w:rPr>
          <w:rFonts w:ascii="Times New Roman" w:hAnsi="Times New Roman"/>
          <w:b/>
          <w:bCs/>
          <w:lang w:val="ru-RU" w:eastAsia="ru-RU"/>
        </w:rPr>
      </w:pPr>
      <w:r w:rsidRPr="00875D57">
        <w:rPr>
          <w:rFonts w:ascii="Times New Roman" w:hAnsi="Times New Roman"/>
          <w:b/>
          <w:bCs/>
          <w:lang w:val="en-US" w:eastAsia="ru-RU"/>
        </w:rPr>
        <w:t>Баланс</w:t>
      </w:r>
      <w:r w:rsidRPr="00875D57">
        <w:rPr>
          <w:rFonts w:ascii="Times New Roman" w:hAnsi="Times New Roman"/>
          <w:b/>
          <w:bCs/>
          <w:lang w:val="ru-RU" w:eastAsia="ru-RU"/>
        </w:rPr>
        <w:t xml:space="preserve"> ( Звіт про фінансовий стан ) на </w:t>
      </w:r>
      <w:r w:rsidRPr="00875D57">
        <w:rPr>
          <w:rFonts w:ascii="Times New Roman" w:hAnsi="Times New Roman"/>
          <w:b/>
          <w:bCs/>
          <w:lang w:val="en-US" w:eastAsia="ru-RU"/>
        </w:rPr>
        <w:t>"31" грудня 2024 р.</w:t>
      </w:r>
      <w:r w:rsidRPr="00875D57">
        <w:rPr>
          <w:rFonts w:ascii="Times New Roman" w:hAnsi="Times New Roman"/>
          <w:b/>
          <w:bCs/>
          <w:lang w:val="ru-RU" w:eastAsia="ru-RU"/>
        </w:rPr>
        <w:t xml:space="preserve"> </w:t>
      </w:r>
    </w:p>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tbl>
      <w:tblPr>
        <w:tblW w:w="0" w:type="auto"/>
        <w:jc w:val="right"/>
        <w:tblLayout w:type="fixed"/>
        <w:tblLook w:val="00A0" w:firstRow="1" w:lastRow="0" w:firstColumn="1" w:lastColumn="0" w:noHBand="0" w:noVBand="0"/>
      </w:tblPr>
      <w:tblGrid>
        <w:gridCol w:w="8640"/>
        <w:gridCol w:w="1107"/>
      </w:tblGrid>
      <w:tr w:rsidR="00875D57" w:rsidRPr="00875D57" w:rsidTr="00073F6D">
        <w:trPr>
          <w:jc w:val="right"/>
        </w:trPr>
        <w:tc>
          <w:tcPr>
            <w:tcW w:w="8640" w:type="dxa"/>
            <w:tcBorders>
              <w:right w:val="single" w:sz="4" w:space="0" w:color="auto"/>
            </w:tcBorders>
            <w:vAlign w:val="center"/>
          </w:tcPr>
          <w:p w:rsidR="00875D57" w:rsidRPr="00875D57" w:rsidRDefault="00875D57" w:rsidP="00875D57">
            <w:pPr>
              <w:widowControl w:val="0"/>
              <w:spacing w:after="0" w:line="240" w:lineRule="auto"/>
              <w:rPr>
                <w:rFonts w:ascii="Times New Roman" w:hAnsi="Times New Roman"/>
                <w:lang w:val="ru-RU" w:eastAsia="ru-RU"/>
              </w:rPr>
            </w:pPr>
            <w:r w:rsidRPr="00875D57">
              <w:rPr>
                <w:rFonts w:ascii="Times New Roman" w:hAnsi="Times New Roman"/>
                <w:lang w:val="ru-RU" w:eastAsia="ru-RU"/>
              </w:rPr>
              <w:t xml:space="preserve">                                                                    </w:t>
            </w:r>
            <w:r w:rsidRPr="00875D57">
              <w:rPr>
                <w:rFonts w:ascii="Times New Roman" w:hAnsi="Times New Roman"/>
                <w:lang w:val="en-US" w:eastAsia="ru-RU"/>
              </w:rPr>
              <w:t>Форма № 1</w:t>
            </w:r>
            <w:r w:rsidRPr="00875D57">
              <w:rPr>
                <w:rFonts w:ascii="Times New Roman" w:hAnsi="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875D57" w:rsidRPr="00875D57" w:rsidRDefault="00875D57" w:rsidP="00875D57">
            <w:pPr>
              <w:keepNext/>
              <w:keepLines/>
              <w:widowControl w:val="0"/>
              <w:suppressAutoHyphens/>
              <w:spacing w:after="0" w:line="240" w:lineRule="auto"/>
              <w:rPr>
                <w:rFonts w:ascii="Times New Roman" w:hAnsi="Times New Roman"/>
                <w:lang w:val="en-US" w:eastAsia="ru-RU"/>
              </w:rPr>
            </w:pPr>
            <w:r w:rsidRPr="00875D57">
              <w:rPr>
                <w:rFonts w:ascii="Times New Roman" w:hAnsi="Times New Roman"/>
                <w:lang w:val="en-US" w:eastAsia="ru-RU"/>
              </w:rPr>
              <w:t>1801001</w:t>
            </w:r>
          </w:p>
        </w:tc>
      </w:tr>
    </w:tbl>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sz w:val="20"/>
                <w:szCs w:val="20"/>
                <w:lang w:val="ru-RU" w:eastAsia="ru-RU"/>
              </w:rPr>
            </w:pPr>
            <w:r w:rsidRPr="00875D57">
              <w:rPr>
                <w:rFonts w:ascii="Times New Roman" w:hAnsi="Times New Roman"/>
                <w:b/>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val="ru-RU" w:eastAsia="ru-RU"/>
              </w:rPr>
              <w:t xml:space="preserve">На початок звітного </w:t>
            </w:r>
            <w:r w:rsidRPr="00875D57">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На кінець звітного періоду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en-US" w:eastAsia="ru-RU"/>
              </w:rPr>
              <w:t xml:space="preserve">                                                  </w:t>
            </w:r>
            <w:r w:rsidRPr="00875D5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I. Необоротні активи </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Нематеріальні активи</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354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650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296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Довгострокові фінансові інвестиції:</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які обліковуються за методом участі в капіталі інших підприємств</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98709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86010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98783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86370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II. Оборотні активи </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18320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18317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126822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Дебіторська заборгованість за розрахунками:</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за виданими авансами</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960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Дебіторська заборгованість за розрахунками з нарахованих доходів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3517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82544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19387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914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914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5560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lastRenderedPageBreak/>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5009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97676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179778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III.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4865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266148</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sz w:val="20"/>
                <w:szCs w:val="20"/>
                <w:lang w:val="ru-RU" w:eastAsia="ru-RU"/>
              </w:rPr>
            </w:pPr>
            <w:r w:rsidRPr="00875D57">
              <w:rPr>
                <w:rFonts w:ascii="Times New Roman" w:hAnsi="Times New Roman"/>
                <w:b/>
                <w:sz w:val="20"/>
                <w:szCs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На кінець звітного періоду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en-US" w:eastAsia="ru-RU"/>
              </w:rPr>
              <w:t xml:space="preserve">                                                   </w:t>
            </w:r>
            <w:r w:rsidRPr="00875D57">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 Власний капітал</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Зареєстрований (пайовий) капітал </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5096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18896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2738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9450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7834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28346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II. Довгострокові зобов'язання і забезпечення</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Відстрочені податкові зобов'язання</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28255</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35000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13657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63255</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IІІ. Поточні зобов'язання і забезпечення</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Короткострокові кредити банків </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6259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14357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Поточна кредиторська заборгованість за:</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довгостроковими зобов'язаннями </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57595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74540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2736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284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Поточна кредиторська заборгованість за одержаними авансами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5330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556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114672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76852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179833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174547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ІV. Зобов'язання, пов'язані з необоротними активами,</w:t>
            </w:r>
          </w:p>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 xml:space="preserve"> утримуваними для продажу, та групами вибуття</w:t>
            </w:r>
          </w:p>
          <w:p w:rsidR="00875D57" w:rsidRPr="00875D57" w:rsidRDefault="00875D57" w:rsidP="00875D57">
            <w:pPr>
              <w:widowControl w:val="0"/>
              <w:spacing w:after="0" w:line="240" w:lineRule="auto"/>
              <w:rPr>
                <w:rFonts w:ascii="Times New Roman" w:hAnsi="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en-US" w:eastAsia="ru-RU"/>
              </w:rPr>
            </w:pPr>
            <w:r w:rsidRPr="00875D57">
              <w:rPr>
                <w:rFonts w:ascii="Times New Roman" w:hAnsi="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201324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266148</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75D57">
        <w:rPr>
          <w:rFonts w:ascii="Times New Roman" w:hAnsi="Times New Roman"/>
          <w:sz w:val="20"/>
          <w:szCs w:val="20"/>
          <w:lang w:val="en-US" w:eastAsia="ru-RU"/>
        </w:rPr>
        <w:t>д/н</w:t>
      </w: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Директор</w:t>
            </w: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Мороз Олександр Тимофійович</w:t>
            </w: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ru-RU" w:eastAsia="ru-RU"/>
              </w:rPr>
              <w:t>Головний бухгалтер</w:t>
            </w:r>
            <w:r w:rsidRPr="00875D57">
              <w:rPr>
                <w:rFonts w:ascii="Times New Roman" w:hAnsi="Times New Roman"/>
                <w:b/>
                <w:color w:val="000000"/>
                <w:sz w:val="20"/>
                <w:szCs w:val="20"/>
                <w:lang w:val="ru-RU" w:eastAsia="ru-RU"/>
              </w:rPr>
              <w:t xml:space="preserve"> </w:t>
            </w:r>
            <w:r w:rsidRPr="00875D57">
              <w:rPr>
                <w:rFonts w:ascii="Times New Roman" w:hAnsi="Times New Roman"/>
                <w:b/>
                <w:color w:val="000000"/>
                <w:sz w:val="20"/>
                <w:szCs w:val="20"/>
                <w:lang w:eastAsia="ru-RU"/>
              </w:rPr>
              <w:t xml:space="preserve">   </w:t>
            </w: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Тимошенко Вікторія Вікторівна</w:t>
            </w: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r w:rsidRPr="00875D57">
              <w:rPr>
                <w:rFonts w:ascii="Times New Roman" w:hAnsi="Times New Roman"/>
                <w:sz w:val="18"/>
                <w:szCs w:val="18"/>
                <w:lang w:eastAsia="ru-RU"/>
              </w:rPr>
              <w:t>Коди</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6"/>
                <w:szCs w:val="16"/>
                <w:lang w:val="ru-RU" w:eastAsia="ru-RU"/>
              </w:rPr>
            </w:pPr>
            <w:r w:rsidRPr="00875D5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20"/>
                <w:szCs w:val="20"/>
                <w:lang w:val="en-US" w:eastAsia="ru-RU"/>
              </w:rPr>
            </w:pPr>
            <w:r w:rsidRPr="00875D57">
              <w:rPr>
                <w:rFonts w:ascii="Times New Roman" w:hAnsi="Times New Roman"/>
                <w:sz w:val="20"/>
                <w:szCs w:val="20"/>
                <w:lang w:eastAsia="ru-RU"/>
              </w:rPr>
              <w:lastRenderedPageBreak/>
              <w:t xml:space="preserve">Підприємство  </w:t>
            </w:r>
            <w:r w:rsidRPr="00875D57">
              <w:rPr>
                <w:rFonts w:ascii="Times New Roman" w:hAnsi="Times New Roman"/>
                <w:sz w:val="20"/>
                <w:szCs w:val="20"/>
                <w:lang w:val="en-US" w:eastAsia="ru-RU"/>
              </w:rPr>
              <w:t xml:space="preserve"> </w:t>
            </w:r>
            <w:r w:rsidRPr="00875D57">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43064717</w:t>
            </w:r>
          </w:p>
        </w:tc>
      </w:tr>
    </w:tbl>
    <w:p w:rsidR="00875D57" w:rsidRPr="00875D57" w:rsidRDefault="00875D57" w:rsidP="00875D57">
      <w:pPr>
        <w:widowControl w:val="0"/>
        <w:spacing w:after="0" w:line="240" w:lineRule="auto"/>
        <w:jc w:val="center"/>
        <w:rPr>
          <w:rFonts w:ascii="Times New Roman" w:hAnsi="Times New Roman"/>
          <w:b/>
          <w:bCs/>
          <w:lang w:eastAsia="ru-RU"/>
        </w:rPr>
      </w:pPr>
    </w:p>
    <w:p w:rsidR="00875D57" w:rsidRPr="00875D57" w:rsidRDefault="00875D57" w:rsidP="00875D57">
      <w:pPr>
        <w:widowControl w:val="0"/>
        <w:spacing w:after="0" w:line="240" w:lineRule="auto"/>
        <w:jc w:val="center"/>
        <w:rPr>
          <w:rFonts w:ascii="Times New Roman" w:hAnsi="Times New Roman"/>
          <w:b/>
          <w:bCs/>
          <w:lang w:val="en-US" w:eastAsia="ru-RU"/>
        </w:rPr>
      </w:pPr>
      <w:r w:rsidRPr="00875D57">
        <w:rPr>
          <w:rFonts w:ascii="Times New Roman" w:hAnsi="Times New Roman"/>
          <w:b/>
          <w:bCs/>
          <w:lang w:val="en-US" w:eastAsia="ru-RU"/>
        </w:rPr>
        <w:t>Звіт про фінансові результати</w:t>
      </w:r>
      <w:r w:rsidRPr="00875D57">
        <w:rPr>
          <w:rFonts w:ascii="Times New Roman" w:hAnsi="Times New Roman"/>
          <w:b/>
          <w:bCs/>
          <w:lang w:eastAsia="ru-RU"/>
        </w:rPr>
        <w:t xml:space="preserve"> ( </w:t>
      </w:r>
      <w:r w:rsidRPr="00875D57">
        <w:rPr>
          <w:rFonts w:ascii="Times New Roman" w:hAnsi="Times New Roman"/>
          <w:b/>
          <w:bCs/>
          <w:color w:val="000000"/>
          <w:lang w:eastAsia="ru-RU"/>
        </w:rPr>
        <w:t>Звіт про сукупний дохід</w:t>
      </w:r>
      <w:r w:rsidRPr="00875D57">
        <w:rPr>
          <w:rFonts w:ascii="Times New Roman" w:hAnsi="Times New Roman"/>
          <w:bCs/>
          <w:color w:val="000000"/>
          <w:sz w:val="20"/>
          <w:szCs w:val="20"/>
          <w:lang w:eastAsia="ru-RU"/>
        </w:rPr>
        <w:t xml:space="preserve"> </w:t>
      </w:r>
      <w:r w:rsidRPr="00875D57">
        <w:rPr>
          <w:rFonts w:ascii="Times New Roman" w:hAnsi="Times New Roman"/>
          <w:b/>
          <w:bCs/>
          <w:lang w:eastAsia="ru-RU"/>
        </w:rPr>
        <w:t xml:space="preserve">) </w:t>
      </w:r>
    </w:p>
    <w:p w:rsidR="00875D57" w:rsidRPr="00875D57" w:rsidRDefault="00875D57" w:rsidP="00875D57">
      <w:pPr>
        <w:widowControl w:val="0"/>
        <w:spacing w:after="0" w:line="240" w:lineRule="auto"/>
        <w:jc w:val="center"/>
        <w:rPr>
          <w:rFonts w:ascii="Times New Roman" w:hAnsi="Times New Roman"/>
          <w:b/>
          <w:bCs/>
          <w:lang w:eastAsia="ru-RU"/>
        </w:rPr>
      </w:pPr>
      <w:r w:rsidRPr="00875D57">
        <w:rPr>
          <w:rFonts w:ascii="Times New Roman" w:hAnsi="Times New Roman"/>
          <w:b/>
          <w:bCs/>
          <w:lang w:val="en-US" w:eastAsia="ru-RU"/>
        </w:rPr>
        <w:t>з</w:t>
      </w:r>
      <w:r w:rsidRPr="00875D57">
        <w:rPr>
          <w:rFonts w:ascii="Times New Roman" w:hAnsi="Times New Roman"/>
          <w:b/>
          <w:bCs/>
          <w:lang w:eastAsia="ru-RU"/>
        </w:rPr>
        <w:t xml:space="preserve">а </w:t>
      </w:r>
      <w:r w:rsidRPr="00875D57">
        <w:rPr>
          <w:rFonts w:ascii="Times New Roman" w:hAnsi="Times New Roman"/>
          <w:b/>
          <w:bCs/>
          <w:lang w:val="en-US" w:eastAsia="ru-RU"/>
        </w:rPr>
        <w:t>2024 рік</w:t>
      </w:r>
      <w:r w:rsidRPr="00875D57">
        <w:rPr>
          <w:rFonts w:ascii="Times New Roman" w:hAnsi="Times New Roman"/>
          <w:b/>
          <w:bCs/>
          <w:lang w:eastAsia="ru-RU"/>
        </w:rPr>
        <w:t xml:space="preserve"> </w:t>
      </w: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75D57" w:rsidRPr="00875D57" w:rsidTr="00073F6D">
        <w:trPr>
          <w:jc w:val="right"/>
        </w:trPr>
        <w:tc>
          <w:tcPr>
            <w:tcW w:w="8613" w:type="dxa"/>
            <w:tcBorders>
              <w:right w:val="single" w:sz="4" w:space="0" w:color="auto"/>
            </w:tcBorders>
            <w:vAlign w:val="center"/>
          </w:tcPr>
          <w:p w:rsidR="00875D57" w:rsidRPr="00875D57" w:rsidRDefault="00875D57" w:rsidP="00875D57">
            <w:pPr>
              <w:widowControl w:val="0"/>
              <w:spacing w:after="0" w:line="240" w:lineRule="auto"/>
              <w:rPr>
                <w:rFonts w:ascii="Times New Roman" w:hAnsi="Times New Roman"/>
                <w:lang w:val="ru-RU" w:eastAsia="ru-RU"/>
              </w:rPr>
            </w:pPr>
            <w:r w:rsidRPr="00875D57">
              <w:rPr>
                <w:rFonts w:ascii="Times New Roman" w:hAnsi="Times New Roman"/>
                <w:lang w:eastAsia="ru-RU"/>
              </w:rPr>
              <w:t xml:space="preserve">                                                                    </w:t>
            </w:r>
            <w:r w:rsidRPr="00875D57">
              <w:rPr>
                <w:rFonts w:ascii="Times New Roman" w:hAnsi="Times New Roman"/>
                <w:lang w:val="en-US" w:eastAsia="ru-RU"/>
              </w:rPr>
              <w:t>Форма № 2</w:t>
            </w:r>
            <w:r w:rsidRPr="00875D5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75D57" w:rsidRPr="00875D57" w:rsidRDefault="00875D57" w:rsidP="00875D57">
            <w:pPr>
              <w:keepNext/>
              <w:keepLines/>
              <w:widowControl w:val="0"/>
              <w:suppressAutoHyphens/>
              <w:spacing w:after="0" w:line="240" w:lineRule="auto"/>
              <w:rPr>
                <w:rFonts w:ascii="Times New Roman" w:hAnsi="Times New Roman"/>
                <w:lang w:val="en-US" w:eastAsia="ru-RU"/>
              </w:rPr>
            </w:pPr>
            <w:r w:rsidRPr="00875D57">
              <w:rPr>
                <w:rFonts w:ascii="Times New Roman" w:hAnsi="Times New Roman"/>
                <w:lang w:val="en-US" w:eastAsia="ru-RU"/>
              </w:rPr>
              <w:t>1801003</w:t>
            </w:r>
          </w:p>
        </w:tc>
      </w:tr>
    </w:tbl>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lang w:eastAsia="ru-RU"/>
        </w:rPr>
        <w:t>І. ФІНАНСОВІ РЕЗУЛЬТАТИ</w:t>
      </w: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sz w:val="20"/>
                <w:szCs w:val="20"/>
                <w:lang w:eastAsia="ru-RU"/>
              </w:rPr>
            </w:pPr>
            <w:r w:rsidRPr="00875D57">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За</w:t>
            </w:r>
            <w:r w:rsidRPr="00875D57">
              <w:rPr>
                <w:rFonts w:ascii="Times New Roman" w:hAnsi="Times New Roman"/>
                <w:b/>
                <w:bCs/>
                <w:sz w:val="20"/>
                <w:szCs w:val="20"/>
                <w:lang w:val="ru-RU" w:eastAsia="ru-RU"/>
              </w:rPr>
              <w:t xml:space="preserve"> звітн</w:t>
            </w:r>
            <w:r w:rsidRPr="00875D57">
              <w:rPr>
                <w:rFonts w:ascii="Times New Roman" w:hAnsi="Times New Roman"/>
                <w:b/>
                <w:bCs/>
                <w:sz w:val="20"/>
                <w:szCs w:val="20"/>
                <w:lang w:eastAsia="ru-RU"/>
              </w:rPr>
              <w:t>ий</w:t>
            </w:r>
            <w:r w:rsidRPr="00875D57">
              <w:rPr>
                <w:rFonts w:ascii="Times New Roman" w:hAnsi="Times New Roman"/>
                <w:b/>
                <w:bCs/>
                <w:sz w:val="20"/>
                <w:szCs w:val="20"/>
                <w:lang w:val="ru-RU" w:eastAsia="ru-RU"/>
              </w:rPr>
              <w:t xml:space="preserve"> </w:t>
            </w:r>
            <w:r w:rsidRPr="00875D5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color w:val="000000"/>
                <w:sz w:val="20"/>
                <w:szCs w:val="20"/>
                <w:lang w:eastAsia="ru-RU"/>
              </w:rPr>
              <w:t>За аналогічний</w:t>
            </w:r>
            <w:r w:rsidRPr="00875D57">
              <w:rPr>
                <w:rFonts w:ascii="Times New Roman" w:hAnsi="Times New Roman"/>
                <w:b/>
                <w:color w:val="000000"/>
                <w:sz w:val="20"/>
                <w:szCs w:val="20"/>
                <w:lang w:eastAsia="ru-RU"/>
              </w:rPr>
              <w:br/>
              <w:t>період попереднього року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436705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240584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(422405)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(238004)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Валовий:  </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14300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2580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152057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60895</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(45795)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(18445)</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(84601)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(36892)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Фінансовий результат від операційної діяльності:  </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35961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8138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(27809)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(2949)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(3190)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Фінансовий результат до оподаткування:</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8186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1999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-1474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-360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фінансовий результат:  </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1639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widowControl w:val="0"/>
        <w:spacing w:after="0" w:line="240" w:lineRule="auto"/>
        <w:ind w:firstLine="567"/>
        <w:jc w:val="center"/>
        <w:rPr>
          <w:rFonts w:ascii="Times New Roman" w:hAnsi="Times New Roman"/>
          <w:b/>
          <w:lang w:val="en-US" w:eastAsia="ru-RU"/>
        </w:rPr>
      </w:pPr>
      <w:r w:rsidRPr="00875D57">
        <w:rPr>
          <w:rFonts w:ascii="Times New Roman" w:hAnsi="Times New Roman"/>
          <w:b/>
          <w:color w:val="000000"/>
          <w:lang w:eastAsia="ru-RU"/>
        </w:rPr>
        <w:t xml:space="preserve">II. </w:t>
      </w:r>
      <w:r w:rsidRPr="00875D57">
        <w:rPr>
          <w:rFonts w:ascii="Times New Roman" w:hAnsi="Times New Roman"/>
          <w:b/>
          <w:lang w:eastAsia="ru-RU"/>
        </w:rPr>
        <w:t>СУКУПНИЙ ДОХІД</w:t>
      </w: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sz w:val="20"/>
                <w:szCs w:val="20"/>
                <w:lang w:eastAsia="ru-RU"/>
              </w:rPr>
            </w:pPr>
            <w:r w:rsidRPr="00875D57">
              <w:rPr>
                <w:rFonts w:ascii="Times New Roman" w:hAnsi="Times New Roman"/>
                <w:b/>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За</w:t>
            </w:r>
            <w:r w:rsidRPr="00875D57">
              <w:rPr>
                <w:rFonts w:ascii="Times New Roman" w:hAnsi="Times New Roman"/>
                <w:b/>
                <w:bCs/>
                <w:sz w:val="20"/>
                <w:szCs w:val="20"/>
                <w:lang w:val="ru-RU" w:eastAsia="ru-RU"/>
              </w:rPr>
              <w:t xml:space="preserve"> звітн</w:t>
            </w:r>
            <w:r w:rsidRPr="00875D57">
              <w:rPr>
                <w:rFonts w:ascii="Times New Roman" w:hAnsi="Times New Roman"/>
                <w:b/>
                <w:bCs/>
                <w:sz w:val="20"/>
                <w:szCs w:val="20"/>
                <w:lang w:eastAsia="ru-RU"/>
              </w:rPr>
              <w:t>ий</w:t>
            </w:r>
            <w:r w:rsidRPr="00875D57">
              <w:rPr>
                <w:rFonts w:ascii="Times New Roman" w:hAnsi="Times New Roman"/>
                <w:b/>
                <w:bCs/>
                <w:sz w:val="20"/>
                <w:szCs w:val="20"/>
                <w:lang w:val="ru-RU" w:eastAsia="ru-RU"/>
              </w:rPr>
              <w:t xml:space="preserve"> </w:t>
            </w:r>
            <w:r w:rsidRPr="00875D5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color w:val="000000"/>
                <w:sz w:val="20"/>
                <w:szCs w:val="20"/>
                <w:lang w:eastAsia="ru-RU"/>
              </w:rPr>
              <w:t>За аналогічний</w:t>
            </w:r>
            <w:r w:rsidRPr="00875D57">
              <w:rPr>
                <w:rFonts w:ascii="Times New Roman" w:hAnsi="Times New Roman"/>
                <w:b/>
                <w:color w:val="000000"/>
                <w:sz w:val="20"/>
                <w:szCs w:val="20"/>
                <w:lang w:eastAsia="ru-RU"/>
              </w:rPr>
              <w:br/>
              <w:t>період попереднього року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6712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1639</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lang w:val="en-US" w:eastAsia="ru-RU"/>
        </w:rPr>
        <w:t xml:space="preserve">III. </w:t>
      </w:r>
      <w:r w:rsidRPr="00875D57">
        <w:rPr>
          <w:rFonts w:ascii="Times New Roman" w:hAnsi="Times New Roman"/>
          <w:b/>
          <w:lang w:eastAsia="ru-RU"/>
        </w:rPr>
        <w:t>ЕЛЕМЕНТИ ОПЕРАЦІЙНИХ ВИТРАТ</w:t>
      </w:r>
    </w:p>
    <w:p w:rsidR="00875D57" w:rsidRPr="00875D57" w:rsidRDefault="00875D57" w:rsidP="00875D5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sz w:val="20"/>
                <w:szCs w:val="20"/>
                <w:lang w:eastAsia="ru-RU"/>
              </w:rPr>
            </w:pPr>
            <w:r w:rsidRPr="00875D57">
              <w:rPr>
                <w:rFonts w:ascii="Times New Roman" w:hAnsi="Times New Roman"/>
                <w:b/>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eastAsia="ru-RU"/>
              </w:rPr>
              <w:t>За</w:t>
            </w:r>
            <w:r w:rsidRPr="00875D57">
              <w:rPr>
                <w:rFonts w:ascii="Times New Roman" w:hAnsi="Times New Roman"/>
                <w:b/>
                <w:bCs/>
                <w:sz w:val="20"/>
                <w:szCs w:val="20"/>
                <w:lang w:val="ru-RU" w:eastAsia="ru-RU"/>
              </w:rPr>
              <w:t xml:space="preserve"> звітн</w:t>
            </w:r>
            <w:r w:rsidRPr="00875D57">
              <w:rPr>
                <w:rFonts w:ascii="Times New Roman" w:hAnsi="Times New Roman"/>
                <w:b/>
                <w:bCs/>
                <w:sz w:val="20"/>
                <w:szCs w:val="20"/>
                <w:lang w:eastAsia="ru-RU"/>
              </w:rPr>
              <w:t>ий</w:t>
            </w:r>
            <w:r w:rsidRPr="00875D57">
              <w:rPr>
                <w:rFonts w:ascii="Times New Roman" w:hAnsi="Times New Roman"/>
                <w:b/>
                <w:bCs/>
                <w:sz w:val="20"/>
                <w:szCs w:val="20"/>
                <w:lang w:val="ru-RU" w:eastAsia="ru-RU"/>
              </w:rPr>
              <w:t xml:space="preserve"> </w:t>
            </w:r>
            <w:r w:rsidRPr="00875D5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color w:val="000000"/>
                <w:sz w:val="20"/>
                <w:szCs w:val="20"/>
                <w:lang w:eastAsia="ru-RU"/>
              </w:rPr>
              <w:t>За аналогічний</w:t>
            </w:r>
            <w:r w:rsidRPr="00875D57">
              <w:rPr>
                <w:rFonts w:ascii="Times New Roman" w:hAnsi="Times New Roman"/>
                <w:b/>
                <w:color w:val="000000"/>
                <w:sz w:val="20"/>
                <w:szCs w:val="20"/>
                <w:lang w:eastAsia="ru-RU"/>
              </w:rPr>
              <w:br/>
              <w:t>період попереднього року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en-US" w:eastAsia="ru-RU"/>
              </w:rPr>
            </w:pPr>
            <w:r w:rsidRPr="00875D57">
              <w:rPr>
                <w:rFonts w:ascii="Times New Roman" w:hAnsi="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299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920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en-US" w:eastAsia="ru-RU"/>
              </w:rPr>
            </w:pPr>
            <w:r w:rsidRPr="00875D57">
              <w:rPr>
                <w:rFonts w:ascii="Times New Roman" w:hAnsi="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3846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1832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en-US" w:eastAsia="ru-RU"/>
              </w:rPr>
            </w:pPr>
            <w:r w:rsidRPr="00875D57">
              <w:rPr>
                <w:rFonts w:ascii="Times New Roman" w:hAnsi="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757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335</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sz w:val="20"/>
                <w:szCs w:val="20"/>
                <w:lang w:eastAsia="ru-RU"/>
              </w:rPr>
            </w:pPr>
            <w:r w:rsidRPr="00875D57">
              <w:rPr>
                <w:rFonts w:ascii="Times New Roman" w:hAnsi="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262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19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sz w:val="20"/>
                <w:szCs w:val="20"/>
                <w:lang w:eastAsia="ru-RU"/>
              </w:rPr>
            </w:pPr>
            <w:r w:rsidRPr="00875D57">
              <w:rPr>
                <w:rFonts w:ascii="Times New Roman" w:hAnsi="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125230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52231</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sz w:val="20"/>
                <w:szCs w:val="20"/>
                <w:lang w:eastAsia="ru-RU"/>
              </w:rPr>
            </w:pPr>
            <w:r w:rsidRPr="00875D57">
              <w:rPr>
                <w:rFonts w:ascii="Times New Roman" w:hAnsi="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130394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55337</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lang w:eastAsia="ru-RU"/>
        </w:rPr>
        <w:t>ІV.</w:t>
      </w:r>
      <w:r w:rsidRPr="00875D57">
        <w:rPr>
          <w:rFonts w:ascii="Times New Roman" w:hAnsi="Times New Roman"/>
          <w:b/>
          <w:lang w:val="ru-RU" w:eastAsia="ru-RU"/>
        </w:rPr>
        <w:t xml:space="preserve"> </w:t>
      </w:r>
      <w:r w:rsidRPr="00875D57">
        <w:rPr>
          <w:rFonts w:ascii="Times New Roman" w:hAnsi="Times New Roman"/>
          <w:b/>
          <w:lang w:eastAsia="ru-RU"/>
        </w:rPr>
        <w:t xml:space="preserve"> РОЗРАХУНОК ПОКАЗНИКІВ ПРИБУТКОВОСТІ АКЦІЙ</w:t>
      </w:r>
    </w:p>
    <w:p w:rsidR="00875D57" w:rsidRPr="00875D57" w:rsidRDefault="00875D57" w:rsidP="00875D57">
      <w:pPr>
        <w:widowControl w:val="0"/>
        <w:spacing w:after="0" w:line="240" w:lineRule="auto"/>
        <w:ind w:firstLine="567"/>
        <w:rPr>
          <w:rFonts w:ascii="Times New Roman" w:hAnsi="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sz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eastAsia="ru-RU"/>
              </w:rPr>
              <w:t>За</w:t>
            </w:r>
            <w:r w:rsidRPr="00875D57">
              <w:rPr>
                <w:rFonts w:ascii="Times New Roman" w:hAnsi="Times New Roman"/>
                <w:b/>
                <w:bCs/>
                <w:sz w:val="20"/>
                <w:szCs w:val="20"/>
                <w:lang w:val="ru-RU" w:eastAsia="ru-RU"/>
              </w:rPr>
              <w:t xml:space="preserve"> звітн</w:t>
            </w:r>
            <w:r w:rsidRPr="00875D57">
              <w:rPr>
                <w:rFonts w:ascii="Times New Roman" w:hAnsi="Times New Roman"/>
                <w:b/>
                <w:bCs/>
                <w:sz w:val="20"/>
                <w:szCs w:val="20"/>
                <w:lang w:eastAsia="ru-RU"/>
              </w:rPr>
              <w:t>ий</w:t>
            </w:r>
            <w:r w:rsidRPr="00875D57">
              <w:rPr>
                <w:rFonts w:ascii="Times New Roman" w:hAnsi="Times New Roman"/>
                <w:b/>
                <w:bCs/>
                <w:sz w:val="20"/>
                <w:szCs w:val="20"/>
                <w:lang w:val="ru-RU" w:eastAsia="ru-RU"/>
              </w:rPr>
              <w:t xml:space="preserve"> </w:t>
            </w:r>
            <w:r w:rsidRPr="00875D5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color w:val="000000"/>
                <w:sz w:val="20"/>
                <w:szCs w:val="20"/>
                <w:lang w:eastAsia="ru-RU"/>
              </w:rPr>
              <w:t>За аналогічний</w:t>
            </w:r>
            <w:r w:rsidRPr="00875D57">
              <w:rPr>
                <w:rFonts w:ascii="Times New Roman" w:hAnsi="Times New Roman"/>
                <w:b/>
                <w:color w:val="000000"/>
                <w:sz w:val="20"/>
                <w:szCs w:val="20"/>
                <w:lang w:eastAsia="ru-RU"/>
              </w:rPr>
              <w:br/>
              <w:t>період попереднього року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en-US" w:eastAsia="ru-RU"/>
              </w:rPr>
            </w:pPr>
            <w:r w:rsidRPr="00875D57">
              <w:rPr>
                <w:rFonts w:ascii="Times New Roman" w:hAnsi="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sz w:val="20"/>
                <w:szCs w:val="20"/>
                <w:lang w:eastAsia="ru-RU"/>
              </w:rPr>
            </w:pPr>
            <w:r w:rsidRPr="00875D57">
              <w:rPr>
                <w:rFonts w:ascii="Times New Roman" w:hAnsi="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sz w:val="20"/>
                <w:szCs w:val="20"/>
                <w:lang w:eastAsia="ru-RU"/>
              </w:rPr>
            </w:pPr>
            <w:r w:rsidRPr="00875D57">
              <w:rPr>
                <w:rFonts w:ascii="Times New Roman" w:hAnsi="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en-US" w:eastAsia="ru-RU"/>
              </w:rPr>
            </w:pPr>
            <w:r w:rsidRPr="00875D57">
              <w:rPr>
                <w:rFonts w:ascii="Times New Roman" w:hAnsi="Times New Roman"/>
                <w:bCs/>
                <w:sz w:val="20"/>
                <w:szCs w:val="20"/>
                <w:lang w:eastAsia="ru-RU"/>
              </w:rPr>
              <w:t>--</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75D57">
        <w:rPr>
          <w:rFonts w:ascii="Times New Roman" w:hAnsi="Times New Roman"/>
          <w:sz w:val="20"/>
          <w:szCs w:val="20"/>
          <w:lang w:val="en-US" w:eastAsia="ru-RU"/>
        </w:rPr>
        <w:t>д/н</w:t>
      </w: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0" w:type="auto"/>
        <w:tblLook w:val="01E0" w:firstRow="1" w:lastRow="1" w:firstColumn="1" w:lastColumn="1" w:noHBand="0" w:noVBand="0"/>
      </w:tblPr>
      <w:tblGrid>
        <w:gridCol w:w="2943"/>
        <w:gridCol w:w="2765"/>
        <w:gridCol w:w="4147"/>
      </w:tblGrid>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Директор</w:t>
            </w: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Мороз Олександр Тимофійович</w:t>
            </w: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ru-RU" w:eastAsia="ru-RU"/>
              </w:rPr>
              <w:t>Головний бухгалтер</w:t>
            </w:r>
            <w:r w:rsidRPr="00875D57">
              <w:rPr>
                <w:rFonts w:ascii="Times New Roman" w:hAnsi="Times New Roman"/>
                <w:b/>
                <w:color w:val="000000"/>
                <w:sz w:val="20"/>
                <w:szCs w:val="20"/>
                <w:lang w:val="ru-RU" w:eastAsia="ru-RU"/>
              </w:rPr>
              <w:t xml:space="preserve"> </w:t>
            </w:r>
            <w:r w:rsidRPr="00875D57">
              <w:rPr>
                <w:rFonts w:ascii="Times New Roman" w:hAnsi="Times New Roman"/>
                <w:b/>
                <w:color w:val="000000"/>
                <w:sz w:val="20"/>
                <w:szCs w:val="20"/>
                <w:lang w:eastAsia="ru-RU"/>
              </w:rPr>
              <w:t xml:space="preserve">   </w:t>
            </w: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Тимошенко Вікторія Вікторівна</w:t>
            </w:r>
          </w:p>
        </w:tc>
      </w:tr>
      <w:tr w:rsidR="00875D57" w:rsidRPr="00875D57" w:rsidTr="00073F6D">
        <w:trPr>
          <w:trHeight w:val="70"/>
        </w:trPr>
        <w:tc>
          <w:tcPr>
            <w:tcW w:w="294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765"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14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widowControl w:val="0"/>
        <w:spacing w:after="0" w:line="240" w:lineRule="auto"/>
        <w:ind w:firstLine="567"/>
        <w:jc w:val="right"/>
        <w:rPr>
          <w:rFonts w:ascii="Times New Roman" w:hAnsi="Times New Roman"/>
          <w:b/>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r w:rsidRPr="00875D57">
              <w:rPr>
                <w:rFonts w:ascii="Times New Roman" w:hAnsi="Times New Roman"/>
                <w:sz w:val="18"/>
                <w:szCs w:val="18"/>
                <w:lang w:eastAsia="ru-RU"/>
              </w:rPr>
              <w:t>Коди</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6"/>
                <w:szCs w:val="16"/>
                <w:lang w:val="ru-RU" w:eastAsia="ru-RU"/>
              </w:rPr>
            </w:pPr>
            <w:r w:rsidRPr="00875D5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en-US" w:eastAsia="ru-RU"/>
              </w:rPr>
            </w:pPr>
            <w:r w:rsidRPr="00875D57">
              <w:rPr>
                <w:rFonts w:ascii="Times New Roman" w:hAnsi="Times New Roman"/>
                <w:sz w:val="18"/>
                <w:szCs w:val="18"/>
                <w:lang w:eastAsia="ru-RU"/>
              </w:rPr>
              <w:t xml:space="preserve">Підприємство  </w:t>
            </w:r>
            <w:r w:rsidRPr="00875D57">
              <w:rPr>
                <w:rFonts w:ascii="Times New Roman" w:hAnsi="Times New Roman"/>
                <w:sz w:val="18"/>
                <w:szCs w:val="18"/>
                <w:lang w:val="en-US" w:eastAsia="ru-RU"/>
              </w:rPr>
              <w:t xml:space="preserve"> </w:t>
            </w:r>
            <w:r w:rsidRPr="00875D57">
              <w:rPr>
                <w:rFonts w:ascii="Times New Roman" w:hAnsi="Times New Roman"/>
                <w:sz w:val="18"/>
                <w:szCs w:val="18"/>
                <w:u w:val="single"/>
                <w:lang w:val="en-US" w:eastAsia="ru-RU"/>
              </w:rPr>
              <w:t>ТОВАРИСТВО З ОБМЕЖЕНОЮ ВІДПОВІДАЛЬНІСТЮ "ФІНАНСОВА КОМПАНІЯ "А-ФІНАНС"</w:t>
            </w:r>
          </w:p>
        </w:tc>
        <w:tc>
          <w:tcPr>
            <w:tcW w:w="1956"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43064717</w:t>
            </w:r>
          </w:p>
        </w:tc>
      </w:tr>
    </w:tbl>
    <w:p w:rsidR="00875D57" w:rsidRPr="00875D57" w:rsidRDefault="00875D57" w:rsidP="00875D57">
      <w:pPr>
        <w:widowControl w:val="0"/>
        <w:spacing w:after="0" w:line="240" w:lineRule="auto"/>
        <w:jc w:val="center"/>
        <w:rPr>
          <w:rFonts w:ascii="Times New Roman" w:hAnsi="Times New Roman"/>
          <w:b/>
          <w:bCs/>
          <w:lang w:eastAsia="ru-RU"/>
        </w:rPr>
      </w:pPr>
    </w:p>
    <w:p w:rsidR="00875D57" w:rsidRPr="00875D57" w:rsidRDefault="00875D57" w:rsidP="00875D57">
      <w:pPr>
        <w:widowControl w:val="0"/>
        <w:spacing w:after="0" w:line="240" w:lineRule="auto"/>
        <w:jc w:val="center"/>
        <w:rPr>
          <w:rFonts w:ascii="Times New Roman" w:hAnsi="Times New Roman"/>
          <w:b/>
          <w:bCs/>
          <w:lang w:val="ru-RU" w:eastAsia="ru-RU"/>
        </w:rPr>
      </w:pPr>
      <w:r w:rsidRPr="00875D57">
        <w:rPr>
          <w:rFonts w:ascii="Times New Roman" w:hAnsi="Times New Roman"/>
          <w:b/>
          <w:bCs/>
          <w:lang w:val="en-US" w:eastAsia="ru-RU"/>
        </w:rPr>
        <w:t>Звіт</w:t>
      </w:r>
      <w:r w:rsidRPr="00875D57">
        <w:rPr>
          <w:rFonts w:ascii="Times New Roman" w:hAnsi="Times New Roman"/>
          <w:b/>
          <w:bCs/>
          <w:lang w:eastAsia="ru-RU"/>
        </w:rPr>
        <w:t xml:space="preserve"> про рух грошових коштів ( за прямим методом )</w:t>
      </w:r>
    </w:p>
    <w:p w:rsidR="00875D57" w:rsidRPr="00875D57" w:rsidRDefault="00875D57" w:rsidP="00875D57">
      <w:pPr>
        <w:widowControl w:val="0"/>
        <w:spacing w:after="0" w:line="240" w:lineRule="auto"/>
        <w:jc w:val="center"/>
        <w:rPr>
          <w:rFonts w:ascii="Times New Roman" w:hAnsi="Times New Roman"/>
          <w:b/>
          <w:bCs/>
          <w:lang w:eastAsia="ru-RU"/>
        </w:rPr>
      </w:pPr>
      <w:r w:rsidRPr="00875D57">
        <w:rPr>
          <w:rFonts w:ascii="Times New Roman" w:hAnsi="Times New Roman"/>
          <w:b/>
          <w:bCs/>
          <w:lang w:val="en-US" w:eastAsia="ru-RU"/>
        </w:rPr>
        <w:t>з</w:t>
      </w:r>
      <w:r w:rsidRPr="00875D57">
        <w:rPr>
          <w:rFonts w:ascii="Times New Roman" w:hAnsi="Times New Roman"/>
          <w:b/>
          <w:bCs/>
          <w:lang w:eastAsia="ru-RU"/>
        </w:rPr>
        <w:t xml:space="preserve">а </w:t>
      </w:r>
      <w:r w:rsidRPr="00875D57">
        <w:rPr>
          <w:rFonts w:ascii="Times New Roman" w:hAnsi="Times New Roman"/>
          <w:b/>
          <w:bCs/>
          <w:lang w:val="en-US" w:eastAsia="ru-RU"/>
        </w:rPr>
        <w:t>2024 рік</w:t>
      </w:r>
      <w:r w:rsidRPr="00875D57">
        <w:rPr>
          <w:rFonts w:ascii="Times New Roman" w:hAnsi="Times New Roman"/>
          <w:b/>
          <w:bCs/>
          <w:lang w:eastAsia="ru-RU"/>
        </w:rPr>
        <w:t xml:space="preserve"> </w:t>
      </w: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75D57" w:rsidRPr="00875D57" w:rsidTr="00073F6D">
        <w:trPr>
          <w:jc w:val="right"/>
        </w:trPr>
        <w:tc>
          <w:tcPr>
            <w:tcW w:w="8613" w:type="dxa"/>
            <w:tcBorders>
              <w:right w:val="single" w:sz="4" w:space="0" w:color="auto"/>
            </w:tcBorders>
            <w:vAlign w:val="center"/>
          </w:tcPr>
          <w:p w:rsidR="00875D57" w:rsidRPr="00875D57" w:rsidRDefault="00875D57" w:rsidP="00875D57">
            <w:pPr>
              <w:widowControl w:val="0"/>
              <w:spacing w:after="0" w:line="240" w:lineRule="auto"/>
              <w:rPr>
                <w:rFonts w:ascii="Times New Roman" w:hAnsi="Times New Roman"/>
                <w:lang w:val="ru-RU" w:eastAsia="ru-RU"/>
              </w:rPr>
            </w:pPr>
            <w:r w:rsidRPr="00875D57">
              <w:rPr>
                <w:rFonts w:ascii="Times New Roman" w:hAnsi="Times New Roman"/>
                <w:lang w:eastAsia="ru-RU"/>
              </w:rPr>
              <w:t xml:space="preserve">                                                                    </w:t>
            </w:r>
            <w:r w:rsidRPr="00875D57">
              <w:rPr>
                <w:rFonts w:ascii="Times New Roman" w:hAnsi="Times New Roman"/>
                <w:lang w:val="en-US" w:eastAsia="ru-RU"/>
              </w:rPr>
              <w:t>Форма № 3</w:t>
            </w:r>
            <w:r w:rsidRPr="00875D5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75D57" w:rsidRPr="00875D57" w:rsidRDefault="00875D57" w:rsidP="00875D57">
            <w:pPr>
              <w:keepNext/>
              <w:keepLines/>
              <w:widowControl w:val="0"/>
              <w:suppressAutoHyphens/>
              <w:spacing w:after="0" w:line="240" w:lineRule="auto"/>
              <w:rPr>
                <w:rFonts w:ascii="Times New Roman" w:hAnsi="Times New Roman"/>
                <w:lang w:val="en-US" w:eastAsia="ru-RU"/>
              </w:rPr>
            </w:pPr>
            <w:r w:rsidRPr="00875D57">
              <w:rPr>
                <w:rFonts w:ascii="Times New Roman" w:hAnsi="Times New Roman"/>
                <w:lang w:val="en-US" w:eastAsia="ru-RU"/>
              </w:rPr>
              <w:t>1801004</w:t>
            </w:r>
          </w:p>
        </w:tc>
      </w:tr>
    </w:tbl>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875D57" w:rsidRPr="00875D57" w:rsidTr="00073F6D">
        <w:tc>
          <w:tcPr>
            <w:tcW w:w="510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sz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За</w:t>
            </w:r>
            <w:r w:rsidRPr="00875D57">
              <w:rPr>
                <w:rFonts w:ascii="Times New Roman" w:hAnsi="Times New Roman"/>
                <w:b/>
                <w:bCs/>
                <w:sz w:val="20"/>
                <w:szCs w:val="20"/>
                <w:lang w:val="ru-RU" w:eastAsia="ru-RU"/>
              </w:rPr>
              <w:t xml:space="preserve"> звітн</w:t>
            </w:r>
            <w:r w:rsidRPr="00875D57">
              <w:rPr>
                <w:rFonts w:ascii="Times New Roman" w:hAnsi="Times New Roman"/>
                <w:b/>
                <w:bCs/>
                <w:sz w:val="20"/>
                <w:szCs w:val="20"/>
                <w:lang w:eastAsia="ru-RU"/>
              </w:rPr>
              <w:t>ий</w:t>
            </w:r>
            <w:r w:rsidRPr="00875D57">
              <w:rPr>
                <w:rFonts w:ascii="Times New Roman" w:hAnsi="Times New Roman"/>
                <w:b/>
                <w:bCs/>
                <w:sz w:val="20"/>
                <w:szCs w:val="20"/>
                <w:lang w:val="ru-RU" w:eastAsia="ru-RU"/>
              </w:rPr>
              <w:t xml:space="preserve"> </w:t>
            </w:r>
            <w:r w:rsidRPr="00875D57">
              <w:rPr>
                <w:rFonts w:ascii="Times New Roman" w:hAnsi="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color w:val="000000"/>
                <w:sz w:val="20"/>
                <w:szCs w:val="20"/>
                <w:lang w:eastAsia="ru-RU"/>
              </w:rPr>
              <w:t>За аналогічний</w:t>
            </w:r>
            <w:r w:rsidRPr="00875D57">
              <w:rPr>
                <w:rFonts w:ascii="Times New Roman" w:hAnsi="Times New Roman"/>
                <w:b/>
                <w:color w:val="000000"/>
                <w:sz w:val="20"/>
                <w:szCs w:val="20"/>
                <w:lang w:eastAsia="ru-RU"/>
              </w:rPr>
              <w:br/>
              <w:t>період попереднього року</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 Рух коштів у результаті операційної діяльності</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302363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142948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авансів від покупців і замовників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127105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1793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2798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відсотків за залишками коштів на поточних рахунках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lastRenderedPageBreak/>
              <w:t>Надходження від боржників неустойки (штрафів, пені)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отримання роялті, авторських винагород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61414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фінансових установ від повернення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38470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оплату:</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(449301)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(271319)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(2964)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(1303)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(2144)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(248)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(3680)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(2227)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оплату зобов'язань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3116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(1594)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(154)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оплату зобов'язань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(2073)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(12108)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(284)</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оплату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(228)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фінансових установ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(61349)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(7858)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(512)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-69566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-68961</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II. Рух коштів у результаті інвестиційної діяльності</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реалізації:</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отриманих:</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 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31057</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придбання:</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надання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3275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(70620)</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-39563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III. Рух коштів у результаті фінансової діяльності</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Надходження від:</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13800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199973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149228</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122943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29751</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Витрачання на сплату 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(26172)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(1799)</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(5592)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64658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112086</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-4908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3562</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5266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1703</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556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w:t>
            </w:r>
          </w:p>
        </w:tc>
      </w:tr>
      <w:tr w:rsidR="00875D57" w:rsidRPr="00875D57" w:rsidTr="00073F6D">
        <w:tc>
          <w:tcPr>
            <w:tcW w:w="5107"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914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5266</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75D57">
        <w:rPr>
          <w:rFonts w:ascii="Times New Roman" w:hAnsi="Times New Roman"/>
          <w:sz w:val="20"/>
          <w:szCs w:val="20"/>
          <w:lang w:val="en-US" w:eastAsia="ru-RU"/>
        </w:rPr>
        <w:t>д/н</w:t>
      </w: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031" w:type="dxa"/>
        <w:tblLook w:val="01E0" w:firstRow="1" w:lastRow="1" w:firstColumn="1" w:lastColumn="1" w:noHBand="0" w:noVBand="0"/>
      </w:tblPr>
      <w:tblGrid>
        <w:gridCol w:w="3085"/>
        <w:gridCol w:w="2623"/>
        <w:gridCol w:w="4323"/>
      </w:tblGrid>
      <w:tr w:rsidR="00875D57" w:rsidRPr="00875D57" w:rsidTr="00073F6D">
        <w:tc>
          <w:tcPr>
            <w:tcW w:w="3085"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Директор</w:t>
            </w:r>
          </w:p>
        </w:tc>
        <w:tc>
          <w:tcPr>
            <w:tcW w:w="2623"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32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Мороз Олександр Тимофійович</w:t>
            </w:r>
          </w:p>
        </w:tc>
      </w:tr>
      <w:tr w:rsidR="00875D57" w:rsidRPr="00875D57" w:rsidTr="00073F6D">
        <w:tc>
          <w:tcPr>
            <w:tcW w:w="3085"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32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3085"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32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3085"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ru-RU" w:eastAsia="ru-RU"/>
              </w:rPr>
              <w:t>Головний бухгалтер</w:t>
            </w:r>
            <w:r w:rsidRPr="00875D57">
              <w:rPr>
                <w:rFonts w:ascii="Times New Roman" w:hAnsi="Times New Roman"/>
                <w:b/>
                <w:color w:val="000000"/>
                <w:sz w:val="20"/>
                <w:szCs w:val="20"/>
                <w:lang w:val="ru-RU" w:eastAsia="ru-RU"/>
              </w:rPr>
              <w:t xml:space="preserve"> </w:t>
            </w:r>
            <w:r w:rsidRPr="00875D57">
              <w:rPr>
                <w:rFonts w:ascii="Times New Roman" w:hAnsi="Times New Roman"/>
                <w:b/>
                <w:color w:val="000000"/>
                <w:sz w:val="20"/>
                <w:szCs w:val="20"/>
                <w:lang w:eastAsia="ru-RU"/>
              </w:rPr>
              <w:t xml:space="preserve">   </w:t>
            </w:r>
          </w:p>
        </w:tc>
        <w:tc>
          <w:tcPr>
            <w:tcW w:w="2623"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32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Тимошенко Вікторія Вікторівна</w:t>
            </w:r>
          </w:p>
        </w:tc>
      </w:tr>
      <w:tr w:rsidR="00875D57" w:rsidRPr="00875D57" w:rsidTr="00073F6D">
        <w:tc>
          <w:tcPr>
            <w:tcW w:w="3085"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623"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323"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ru-RU" w:eastAsia="ru-RU"/>
              </w:rPr>
            </w:pPr>
            <w:r w:rsidRPr="00875D57">
              <w:rPr>
                <w:rFonts w:ascii="Times New Roman" w:hAnsi="Times New Roman"/>
                <w:sz w:val="18"/>
                <w:szCs w:val="18"/>
                <w:lang w:eastAsia="ru-RU"/>
              </w:rPr>
              <w:t>Коди</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18"/>
                <w:szCs w:val="18"/>
                <w:lang w:val="ru-RU" w:eastAsia="ru-RU"/>
              </w:rPr>
            </w:pPr>
          </w:p>
        </w:tc>
        <w:tc>
          <w:tcPr>
            <w:tcW w:w="1956" w:type="dxa"/>
          </w:tcPr>
          <w:p w:rsidR="00875D57" w:rsidRPr="00875D57" w:rsidRDefault="00875D57" w:rsidP="00875D57">
            <w:pPr>
              <w:widowControl w:val="0"/>
              <w:spacing w:after="0" w:line="240" w:lineRule="auto"/>
              <w:jc w:val="center"/>
              <w:rPr>
                <w:rFonts w:ascii="Times New Roman" w:hAnsi="Times New Roman"/>
                <w:sz w:val="16"/>
                <w:szCs w:val="16"/>
                <w:lang w:val="ru-RU" w:eastAsia="ru-RU"/>
              </w:rPr>
            </w:pPr>
            <w:r w:rsidRPr="00875D57">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2025</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875D57" w:rsidRPr="00875D57" w:rsidRDefault="00875D57" w:rsidP="00875D57">
            <w:pPr>
              <w:widowControl w:val="0"/>
              <w:spacing w:after="0" w:line="240" w:lineRule="auto"/>
              <w:rPr>
                <w:rFonts w:ascii="Times New Roman" w:hAnsi="Times New Roman"/>
                <w:bCs/>
                <w:sz w:val="18"/>
                <w:szCs w:val="18"/>
                <w:lang w:val="en-US" w:eastAsia="ru-RU"/>
              </w:rPr>
            </w:pPr>
            <w:r w:rsidRPr="00875D57">
              <w:rPr>
                <w:rFonts w:ascii="Times New Roman" w:hAnsi="Times New Roman"/>
                <w:bCs/>
                <w:sz w:val="18"/>
                <w:szCs w:val="18"/>
                <w:lang w:val="en-US" w:eastAsia="ru-RU"/>
              </w:rPr>
              <w:t>01</w:t>
            </w:r>
          </w:p>
        </w:tc>
      </w:tr>
      <w:tr w:rsidR="00875D57" w:rsidRPr="00875D57" w:rsidTr="00073F6D">
        <w:tc>
          <w:tcPr>
            <w:tcW w:w="6082" w:type="dxa"/>
          </w:tcPr>
          <w:p w:rsidR="00875D57" w:rsidRPr="00875D57" w:rsidRDefault="00875D57" w:rsidP="00875D57">
            <w:pPr>
              <w:widowControl w:val="0"/>
              <w:spacing w:after="0" w:line="240" w:lineRule="auto"/>
              <w:rPr>
                <w:rFonts w:ascii="Times New Roman" w:hAnsi="Times New Roman"/>
                <w:sz w:val="20"/>
                <w:szCs w:val="20"/>
                <w:lang w:val="en-US" w:eastAsia="ru-RU"/>
              </w:rPr>
            </w:pPr>
            <w:r w:rsidRPr="00875D57">
              <w:rPr>
                <w:rFonts w:ascii="Times New Roman" w:hAnsi="Times New Roman"/>
                <w:sz w:val="20"/>
                <w:szCs w:val="20"/>
                <w:lang w:eastAsia="ru-RU"/>
              </w:rPr>
              <w:t xml:space="preserve">Підприємство  </w:t>
            </w:r>
            <w:r w:rsidRPr="00875D57">
              <w:rPr>
                <w:rFonts w:ascii="Times New Roman" w:hAnsi="Times New Roman"/>
                <w:sz w:val="20"/>
                <w:szCs w:val="20"/>
                <w:lang w:val="en-US" w:eastAsia="ru-RU"/>
              </w:rPr>
              <w:t xml:space="preserve"> </w:t>
            </w:r>
            <w:r w:rsidRPr="00875D57">
              <w:rPr>
                <w:rFonts w:ascii="Times New Roman" w:hAnsi="Times New Roman"/>
                <w:sz w:val="20"/>
                <w:szCs w:val="20"/>
                <w:u w:val="single"/>
                <w:lang w:val="en-US" w:eastAsia="ru-RU"/>
              </w:rPr>
              <w:t>ТОВАРИСТВО З ОБМЕЖЕНОЮ ВІДПОВІДАЛЬНІСТЮ "ФІНАНСОВА КОМПАНІЯ "А-ФІНАНС"</w:t>
            </w:r>
          </w:p>
        </w:tc>
        <w:tc>
          <w:tcPr>
            <w:tcW w:w="1956" w:type="dxa"/>
          </w:tcPr>
          <w:p w:rsidR="00875D57" w:rsidRPr="00875D57" w:rsidRDefault="00875D57" w:rsidP="00875D57">
            <w:pPr>
              <w:widowControl w:val="0"/>
              <w:spacing w:after="0" w:line="240" w:lineRule="auto"/>
              <w:rPr>
                <w:rFonts w:ascii="Times New Roman" w:hAnsi="Times New Roman"/>
                <w:sz w:val="18"/>
                <w:szCs w:val="18"/>
                <w:lang w:val="ru-RU" w:eastAsia="ru-RU"/>
              </w:rPr>
            </w:pPr>
            <w:r w:rsidRPr="00875D57">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875D57" w:rsidRPr="00875D57" w:rsidRDefault="00875D57" w:rsidP="00875D57">
            <w:pPr>
              <w:widowControl w:val="0"/>
              <w:spacing w:after="0" w:line="240" w:lineRule="auto"/>
              <w:jc w:val="center"/>
              <w:rPr>
                <w:rFonts w:ascii="Times New Roman" w:hAnsi="Times New Roman"/>
                <w:sz w:val="18"/>
                <w:szCs w:val="18"/>
                <w:lang w:val="en-US" w:eastAsia="ru-RU"/>
              </w:rPr>
            </w:pPr>
            <w:r w:rsidRPr="00875D57">
              <w:rPr>
                <w:rFonts w:ascii="Times New Roman" w:hAnsi="Times New Roman"/>
                <w:sz w:val="18"/>
                <w:szCs w:val="18"/>
                <w:lang w:val="en-US" w:eastAsia="ru-RU"/>
              </w:rPr>
              <w:t>43064717</w:t>
            </w:r>
          </w:p>
        </w:tc>
      </w:tr>
    </w:tbl>
    <w:p w:rsidR="00875D57" w:rsidRPr="00875D57" w:rsidRDefault="00875D57" w:rsidP="00875D57">
      <w:pPr>
        <w:widowControl w:val="0"/>
        <w:spacing w:after="0" w:line="240" w:lineRule="auto"/>
        <w:jc w:val="center"/>
        <w:rPr>
          <w:rFonts w:ascii="Times New Roman" w:hAnsi="Times New Roman"/>
          <w:b/>
          <w:bCs/>
          <w:lang w:eastAsia="ru-RU"/>
        </w:rPr>
      </w:pPr>
    </w:p>
    <w:p w:rsidR="00875D57" w:rsidRPr="00875D57" w:rsidRDefault="00875D57" w:rsidP="00875D57">
      <w:pPr>
        <w:widowControl w:val="0"/>
        <w:spacing w:after="0" w:line="240" w:lineRule="auto"/>
        <w:jc w:val="center"/>
        <w:rPr>
          <w:rFonts w:ascii="Times New Roman" w:hAnsi="Times New Roman"/>
          <w:b/>
          <w:bCs/>
          <w:lang w:val="ru-RU" w:eastAsia="ru-RU"/>
        </w:rPr>
      </w:pPr>
      <w:r w:rsidRPr="00875D57">
        <w:rPr>
          <w:rFonts w:ascii="Times New Roman" w:hAnsi="Times New Roman"/>
          <w:b/>
          <w:bCs/>
          <w:lang w:val="en-US" w:eastAsia="ru-RU"/>
        </w:rPr>
        <w:t>Звіт</w:t>
      </w:r>
      <w:r w:rsidRPr="00875D57">
        <w:rPr>
          <w:rFonts w:ascii="Times New Roman" w:hAnsi="Times New Roman"/>
          <w:b/>
          <w:bCs/>
          <w:lang w:eastAsia="ru-RU"/>
        </w:rPr>
        <w:t xml:space="preserve"> про власний капітал</w:t>
      </w:r>
    </w:p>
    <w:p w:rsidR="00875D57" w:rsidRPr="00875D57" w:rsidRDefault="00875D57" w:rsidP="00875D57">
      <w:pPr>
        <w:widowControl w:val="0"/>
        <w:spacing w:after="0" w:line="240" w:lineRule="auto"/>
        <w:jc w:val="center"/>
        <w:rPr>
          <w:rFonts w:ascii="Times New Roman" w:hAnsi="Times New Roman"/>
          <w:b/>
          <w:bCs/>
          <w:lang w:eastAsia="ru-RU"/>
        </w:rPr>
      </w:pPr>
      <w:r w:rsidRPr="00875D57">
        <w:rPr>
          <w:rFonts w:ascii="Times New Roman" w:hAnsi="Times New Roman"/>
          <w:b/>
          <w:bCs/>
          <w:lang w:val="en-US" w:eastAsia="ru-RU"/>
        </w:rPr>
        <w:t>з</w:t>
      </w:r>
      <w:r w:rsidRPr="00875D57">
        <w:rPr>
          <w:rFonts w:ascii="Times New Roman" w:hAnsi="Times New Roman"/>
          <w:b/>
          <w:bCs/>
          <w:lang w:eastAsia="ru-RU"/>
        </w:rPr>
        <w:t xml:space="preserve">а </w:t>
      </w:r>
      <w:r w:rsidRPr="00875D57">
        <w:rPr>
          <w:rFonts w:ascii="Times New Roman" w:hAnsi="Times New Roman"/>
          <w:b/>
          <w:bCs/>
          <w:lang w:val="en-US" w:eastAsia="ru-RU"/>
        </w:rPr>
        <w:t>2024 рік</w:t>
      </w:r>
      <w:r w:rsidRPr="00875D57">
        <w:rPr>
          <w:rFonts w:ascii="Times New Roman" w:hAnsi="Times New Roman"/>
          <w:b/>
          <w:bCs/>
          <w:lang w:eastAsia="ru-RU"/>
        </w:rPr>
        <w:t xml:space="preserve"> </w:t>
      </w: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0" w:type="auto"/>
        <w:jc w:val="right"/>
        <w:tblLayout w:type="fixed"/>
        <w:tblLook w:val="00A0" w:firstRow="1" w:lastRow="0" w:firstColumn="1" w:lastColumn="0" w:noHBand="0" w:noVBand="0"/>
      </w:tblPr>
      <w:tblGrid>
        <w:gridCol w:w="8613"/>
        <w:gridCol w:w="1134"/>
      </w:tblGrid>
      <w:tr w:rsidR="00875D57" w:rsidRPr="00875D57" w:rsidTr="00073F6D">
        <w:trPr>
          <w:jc w:val="right"/>
        </w:trPr>
        <w:tc>
          <w:tcPr>
            <w:tcW w:w="8613" w:type="dxa"/>
            <w:tcBorders>
              <w:right w:val="single" w:sz="4" w:space="0" w:color="auto"/>
            </w:tcBorders>
            <w:vAlign w:val="center"/>
          </w:tcPr>
          <w:p w:rsidR="00875D57" w:rsidRPr="00875D57" w:rsidRDefault="00875D57" w:rsidP="00875D57">
            <w:pPr>
              <w:widowControl w:val="0"/>
              <w:spacing w:after="0" w:line="240" w:lineRule="auto"/>
              <w:rPr>
                <w:rFonts w:ascii="Times New Roman" w:hAnsi="Times New Roman"/>
                <w:lang w:val="ru-RU" w:eastAsia="ru-RU"/>
              </w:rPr>
            </w:pPr>
            <w:r w:rsidRPr="00875D57">
              <w:rPr>
                <w:rFonts w:ascii="Times New Roman" w:hAnsi="Times New Roman"/>
                <w:lang w:eastAsia="ru-RU"/>
              </w:rPr>
              <w:t xml:space="preserve">                                                                    </w:t>
            </w:r>
            <w:r w:rsidRPr="00875D57">
              <w:rPr>
                <w:rFonts w:ascii="Times New Roman" w:hAnsi="Times New Roman"/>
                <w:lang w:val="en-US" w:eastAsia="ru-RU"/>
              </w:rPr>
              <w:t>Форма № 4</w:t>
            </w:r>
            <w:r w:rsidRPr="00875D57">
              <w:rPr>
                <w:rFonts w:ascii="Times New Roman" w:hAnsi="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875D57" w:rsidRPr="00875D57" w:rsidRDefault="00875D57" w:rsidP="00875D57">
            <w:pPr>
              <w:keepNext/>
              <w:keepLines/>
              <w:widowControl w:val="0"/>
              <w:suppressAutoHyphens/>
              <w:spacing w:after="0" w:line="240" w:lineRule="auto"/>
              <w:rPr>
                <w:rFonts w:ascii="Times New Roman" w:hAnsi="Times New Roman"/>
                <w:lang w:val="en-US" w:eastAsia="ru-RU"/>
              </w:rPr>
            </w:pPr>
            <w:r w:rsidRPr="00875D57">
              <w:rPr>
                <w:rFonts w:ascii="Times New Roman" w:hAnsi="Times New Roman"/>
                <w:lang w:val="en-US" w:eastAsia="ru-RU"/>
              </w:rPr>
              <w:t>1801005</w:t>
            </w:r>
          </w:p>
        </w:tc>
      </w:tr>
    </w:tbl>
    <w:p w:rsidR="00875D57" w:rsidRPr="00875D57" w:rsidRDefault="00875D57" w:rsidP="00875D57">
      <w:pPr>
        <w:widowControl w:val="0"/>
        <w:spacing w:after="0" w:line="240" w:lineRule="auto"/>
        <w:jc w:val="center"/>
        <w:rPr>
          <w:rFonts w:ascii="Times New Roman" w:hAnsi="Times New Roman"/>
          <w:b/>
          <w:bCs/>
          <w:sz w:val="10"/>
          <w:szCs w:val="10"/>
          <w:lang w:val="ru-RU" w:eastAsia="ru-RU"/>
        </w:rPr>
      </w:pPr>
    </w:p>
    <w:p w:rsidR="00875D57" w:rsidRPr="00875D57" w:rsidRDefault="00875D57" w:rsidP="00875D57">
      <w:pPr>
        <w:widowControl w:val="0"/>
        <w:spacing w:after="0" w:line="240" w:lineRule="auto"/>
        <w:jc w:val="center"/>
        <w:rPr>
          <w:rFonts w:ascii="Times New Roman" w:hAnsi="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2506"/>
        <w:gridCol w:w="630"/>
        <w:gridCol w:w="897"/>
        <w:gridCol w:w="898"/>
        <w:gridCol w:w="897"/>
        <w:gridCol w:w="898"/>
        <w:gridCol w:w="959"/>
        <w:gridCol w:w="836"/>
        <w:gridCol w:w="898"/>
        <w:gridCol w:w="898"/>
      </w:tblGrid>
      <w:tr w:rsidR="00875D57" w:rsidRPr="00875D57" w:rsidTr="00073F6D">
        <w:trPr>
          <w:trHeight w:val="345"/>
        </w:trPr>
        <w:tc>
          <w:tcPr>
            <w:tcW w:w="2506"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ind w:firstLine="567"/>
              <w:jc w:val="center"/>
              <w:rPr>
                <w:rFonts w:ascii="Times New Roman" w:hAnsi="Times New Roman"/>
                <w:b/>
                <w:lang w:eastAsia="ru-RU"/>
              </w:rPr>
            </w:pPr>
            <w:r w:rsidRPr="00875D57">
              <w:rPr>
                <w:rFonts w:ascii="Times New Roman" w:hAnsi="Times New Roman"/>
                <w:b/>
                <w:sz w:val="20"/>
                <w:lang w:eastAsia="ru-RU"/>
              </w:rPr>
              <w:t>Стаття</w:t>
            </w:r>
          </w:p>
        </w:tc>
        <w:tc>
          <w:tcPr>
            <w:tcW w:w="630"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color w:val="000000"/>
                <w:sz w:val="20"/>
                <w:szCs w:val="20"/>
                <w:lang w:eastAsia="ru-RU"/>
              </w:rPr>
            </w:pPr>
            <w:r w:rsidRPr="00875D57">
              <w:rPr>
                <w:rFonts w:ascii="Times New Roman" w:hAnsi="Times New Roman"/>
                <w:b/>
                <w:color w:val="000000"/>
                <w:sz w:val="20"/>
                <w:szCs w:val="20"/>
                <w:lang w:eastAsia="ru-RU"/>
              </w:rPr>
              <w:t>Зареєст-рований (пайовий)</w:t>
            </w:r>
          </w:p>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color w:val="000000"/>
                <w:sz w:val="20"/>
                <w:szCs w:val="20"/>
                <w:lang w:eastAsia="ru-RU"/>
              </w:rPr>
            </w:pPr>
            <w:r w:rsidRPr="00875D57">
              <w:rPr>
                <w:rFonts w:ascii="Times New Roman" w:hAnsi="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sz w:val="20"/>
                <w:szCs w:val="20"/>
                <w:lang w:eastAsia="ru-RU"/>
              </w:rPr>
            </w:pPr>
            <w:r w:rsidRPr="00875D57">
              <w:rPr>
                <w:rFonts w:ascii="Times New Roman" w:hAnsi="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color w:val="000000"/>
                <w:sz w:val="20"/>
                <w:szCs w:val="20"/>
                <w:lang w:eastAsia="ru-RU"/>
              </w:rPr>
            </w:pPr>
            <w:r w:rsidRPr="00875D57">
              <w:rPr>
                <w:rFonts w:ascii="Times New Roman" w:hAnsi="Times New Roman"/>
                <w:b/>
                <w:color w:val="000000"/>
                <w:sz w:val="20"/>
                <w:szCs w:val="20"/>
                <w:lang w:eastAsia="ru-RU"/>
              </w:rPr>
              <w:t>Нероз-</w:t>
            </w:r>
          </w:p>
          <w:p w:rsidR="00875D57" w:rsidRPr="00875D57" w:rsidRDefault="00875D57" w:rsidP="00875D57">
            <w:pPr>
              <w:widowControl w:val="0"/>
              <w:spacing w:after="0" w:line="240" w:lineRule="auto"/>
              <w:jc w:val="center"/>
              <w:rPr>
                <w:rFonts w:ascii="Times New Roman" w:hAnsi="Times New Roman"/>
                <w:b/>
                <w:color w:val="000000"/>
                <w:sz w:val="20"/>
                <w:szCs w:val="20"/>
                <w:lang w:eastAsia="ru-RU"/>
              </w:rPr>
            </w:pPr>
            <w:r w:rsidRPr="00875D57">
              <w:rPr>
                <w:rFonts w:ascii="Times New Roman" w:hAnsi="Times New Roman"/>
                <w:b/>
                <w:color w:val="000000"/>
                <w:sz w:val="20"/>
                <w:szCs w:val="20"/>
                <w:lang w:eastAsia="ru-RU"/>
              </w:rPr>
              <w:t>поділе-</w:t>
            </w:r>
          </w:p>
          <w:p w:rsidR="00875D57" w:rsidRPr="00875D57" w:rsidRDefault="00875D57" w:rsidP="00875D57">
            <w:pPr>
              <w:widowControl w:val="0"/>
              <w:spacing w:after="0" w:line="240" w:lineRule="auto"/>
              <w:jc w:val="center"/>
              <w:rPr>
                <w:rFonts w:ascii="Times New Roman" w:hAnsi="Times New Roman"/>
                <w:b/>
                <w:sz w:val="20"/>
                <w:szCs w:val="20"/>
                <w:lang w:eastAsia="ru-RU"/>
              </w:rPr>
            </w:pPr>
            <w:r w:rsidRPr="00875D57">
              <w:rPr>
                <w:rFonts w:ascii="Times New Roman" w:hAnsi="Times New Roman"/>
                <w:b/>
                <w:color w:val="000000"/>
                <w:sz w:val="20"/>
                <w:szCs w:val="20"/>
                <w:lang w:eastAsia="ru-RU"/>
              </w:rPr>
              <w:t>ний прибуток</w:t>
            </w:r>
            <w:r w:rsidRPr="00875D57">
              <w:rPr>
                <w:rFonts w:ascii="Times New Roman" w:hAnsi="Times New Roman"/>
                <w:b/>
                <w:lang w:val="ru-RU" w:eastAsia="ru-RU"/>
              </w:rPr>
              <w:t xml:space="preserve"> </w:t>
            </w:r>
            <w:r w:rsidRPr="00875D57">
              <w:rPr>
                <w:rFonts w:ascii="Times New Roman" w:hAnsi="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sz w:val="20"/>
                <w:szCs w:val="20"/>
                <w:lang w:eastAsia="ru-RU"/>
              </w:rPr>
            </w:pPr>
            <w:r w:rsidRPr="00875D57">
              <w:rPr>
                <w:rFonts w:ascii="Times New Roman" w:hAnsi="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color w:val="000000"/>
                <w:sz w:val="20"/>
                <w:szCs w:val="20"/>
                <w:lang w:eastAsia="ru-RU"/>
              </w:rPr>
            </w:pPr>
            <w:r w:rsidRPr="00875D57">
              <w:rPr>
                <w:rFonts w:ascii="Times New Roman" w:hAnsi="Times New Roman"/>
                <w:b/>
                <w:color w:val="000000"/>
                <w:sz w:val="20"/>
                <w:szCs w:val="20"/>
                <w:lang w:eastAsia="ru-RU"/>
              </w:rPr>
              <w:t>Вилу</w:t>
            </w:r>
            <w:r w:rsidRPr="00875D57">
              <w:rPr>
                <w:rFonts w:ascii="Times New Roman" w:hAnsi="Times New Roman"/>
                <w:b/>
                <w:color w:val="000000"/>
                <w:sz w:val="20"/>
                <w:szCs w:val="20"/>
                <w:lang w:val="en-US" w:eastAsia="ru-RU"/>
              </w:rPr>
              <w:t>-</w:t>
            </w:r>
            <w:r w:rsidRPr="00875D57">
              <w:rPr>
                <w:rFonts w:ascii="Times New Roman" w:hAnsi="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sz w:val="20"/>
                <w:szCs w:val="20"/>
                <w:lang w:eastAsia="ru-RU"/>
              </w:rPr>
            </w:pPr>
            <w:r w:rsidRPr="00875D57">
              <w:rPr>
                <w:rFonts w:ascii="Times New Roman" w:hAnsi="Times New Roman"/>
                <w:b/>
                <w:sz w:val="20"/>
                <w:szCs w:val="20"/>
                <w:lang w:eastAsia="ru-RU"/>
              </w:rPr>
              <w:t>Всього</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
                <w:bCs/>
                <w:sz w:val="20"/>
                <w:szCs w:val="20"/>
                <w:lang w:val="ru-RU" w:eastAsia="ru-RU"/>
              </w:rPr>
            </w:pPr>
            <w:r w:rsidRPr="00875D57">
              <w:rPr>
                <w:rFonts w:ascii="Times New Roman" w:hAnsi="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val="ru-RU" w:eastAsia="ru-RU"/>
              </w:rPr>
            </w:pPr>
            <w:r w:rsidRPr="00875D57">
              <w:rPr>
                <w:rFonts w:ascii="Times New Roman" w:hAnsi="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
                <w:bCs/>
                <w:sz w:val="20"/>
                <w:szCs w:val="20"/>
                <w:lang w:eastAsia="ru-RU"/>
              </w:rPr>
            </w:pPr>
            <w:r w:rsidRPr="00875D57">
              <w:rPr>
                <w:rFonts w:ascii="Times New Roman" w:hAnsi="Times New Roman"/>
                <w:b/>
                <w:bCs/>
                <w:sz w:val="20"/>
                <w:szCs w:val="20"/>
                <w:lang w:eastAsia="ru-RU"/>
              </w:rPr>
              <w:t>10</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7834</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Коригування:</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5096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2738</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7834</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6712</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Розподіл прибутку:</w:t>
            </w:r>
          </w:p>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13800</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13800</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6712</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20512</w:t>
            </w:r>
          </w:p>
        </w:tc>
      </w:tr>
      <w:tr w:rsidR="00875D57" w:rsidRPr="00875D57" w:rsidTr="00073F6D">
        <w:tc>
          <w:tcPr>
            <w:tcW w:w="2506" w:type="dxa"/>
            <w:tcBorders>
              <w:top w:val="single" w:sz="6" w:space="0" w:color="auto"/>
              <w:left w:val="single" w:sz="6" w:space="0" w:color="auto"/>
              <w:bottom w:val="single" w:sz="6" w:space="0" w:color="auto"/>
              <w:right w:val="single" w:sz="6" w:space="0" w:color="auto"/>
            </w:tcBorders>
            <w:shd w:val="clear" w:color="auto" w:fill="auto"/>
          </w:tcPr>
          <w:p w:rsidR="00875D57" w:rsidRPr="00875D57" w:rsidRDefault="00875D57" w:rsidP="00875D57">
            <w:pPr>
              <w:widowControl w:val="0"/>
              <w:spacing w:after="0" w:line="240" w:lineRule="auto"/>
              <w:rPr>
                <w:rFonts w:ascii="Times New Roman" w:hAnsi="Times New Roman"/>
                <w:bCs/>
                <w:sz w:val="20"/>
                <w:szCs w:val="20"/>
                <w:lang w:val="ru-RU" w:eastAsia="ru-RU"/>
              </w:rPr>
            </w:pPr>
            <w:r w:rsidRPr="00875D57">
              <w:rPr>
                <w:rFonts w:ascii="Times New Roman" w:hAnsi="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val="ru-RU" w:eastAsia="ru-RU"/>
              </w:rPr>
            </w:pPr>
            <w:r w:rsidRPr="00875D57">
              <w:rPr>
                <w:rFonts w:ascii="Times New Roman" w:hAnsi="Times New Roman"/>
                <w:bCs/>
                <w:sz w:val="20"/>
                <w:szCs w:val="20"/>
                <w:lang w:val="ru-RU" w:eastAsia="ru-RU"/>
              </w:rPr>
              <w:t>18896</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9450</w:t>
            </w:r>
          </w:p>
        </w:tc>
        <w:tc>
          <w:tcPr>
            <w:tcW w:w="836"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875D57" w:rsidRPr="00875D57" w:rsidRDefault="00875D57" w:rsidP="00875D57">
            <w:pPr>
              <w:widowControl w:val="0"/>
              <w:spacing w:after="0" w:line="240" w:lineRule="auto"/>
              <w:jc w:val="center"/>
              <w:rPr>
                <w:rFonts w:ascii="Times New Roman" w:hAnsi="Times New Roman"/>
                <w:bCs/>
                <w:sz w:val="20"/>
                <w:szCs w:val="20"/>
                <w:lang w:eastAsia="ru-RU"/>
              </w:rPr>
            </w:pPr>
            <w:r w:rsidRPr="00875D57">
              <w:rPr>
                <w:rFonts w:ascii="Times New Roman" w:hAnsi="Times New Roman"/>
                <w:bCs/>
                <w:sz w:val="20"/>
                <w:szCs w:val="20"/>
                <w:lang w:eastAsia="ru-RU"/>
              </w:rPr>
              <w:t>28346</w:t>
            </w: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val="en-US" w:eastAsia="ru-RU"/>
        </w:rPr>
      </w:pPr>
      <w:r w:rsidRPr="00875D57">
        <w:rPr>
          <w:rFonts w:ascii="Times New Roman" w:hAnsi="Times New Roman"/>
          <w:sz w:val="20"/>
          <w:szCs w:val="20"/>
          <w:lang w:val="en-US" w:eastAsia="ru-RU"/>
        </w:rPr>
        <w:t>д/н</w:t>
      </w: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bl>
      <w:tblPr>
        <w:tblW w:w="10314" w:type="dxa"/>
        <w:tblLook w:val="01E0" w:firstRow="1" w:lastRow="1" w:firstColumn="1" w:lastColumn="1" w:noHBand="0" w:noVBand="0"/>
      </w:tblPr>
      <w:tblGrid>
        <w:gridCol w:w="3227"/>
        <w:gridCol w:w="2481"/>
        <w:gridCol w:w="4606"/>
      </w:tblGrid>
      <w:tr w:rsidR="00875D57" w:rsidRPr="00875D57" w:rsidTr="00073F6D">
        <w:tc>
          <w:tcPr>
            <w:tcW w:w="322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Директор</w:t>
            </w:r>
          </w:p>
        </w:tc>
        <w:tc>
          <w:tcPr>
            <w:tcW w:w="2481"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606"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Мороз Олександр Тимофійович</w:t>
            </w:r>
          </w:p>
        </w:tc>
      </w:tr>
      <w:tr w:rsidR="00875D57" w:rsidRPr="00875D57" w:rsidTr="00073F6D">
        <w:tc>
          <w:tcPr>
            <w:tcW w:w="322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606"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322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p>
        </w:tc>
        <w:tc>
          <w:tcPr>
            <w:tcW w:w="4606"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r w:rsidR="00875D57" w:rsidRPr="00875D57" w:rsidTr="00073F6D">
        <w:tc>
          <w:tcPr>
            <w:tcW w:w="322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ru-RU" w:eastAsia="ru-RU"/>
              </w:rPr>
              <w:t>Головний бухгалтер</w:t>
            </w:r>
            <w:r w:rsidRPr="00875D57">
              <w:rPr>
                <w:rFonts w:ascii="Times New Roman" w:hAnsi="Times New Roman"/>
                <w:b/>
                <w:color w:val="000000"/>
                <w:sz w:val="20"/>
                <w:szCs w:val="20"/>
                <w:lang w:val="ru-RU" w:eastAsia="ru-RU"/>
              </w:rPr>
              <w:t xml:space="preserve"> </w:t>
            </w:r>
            <w:r w:rsidRPr="00875D57">
              <w:rPr>
                <w:rFonts w:ascii="Times New Roman" w:hAnsi="Times New Roman"/>
                <w:b/>
                <w:color w:val="000000"/>
                <w:sz w:val="20"/>
                <w:szCs w:val="20"/>
                <w:lang w:eastAsia="ru-RU"/>
              </w:rPr>
              <w:t xml:space="preserve">   </w:t>
            </w:r>
          </w:p>
        </w:tc>
        <w:tc>
          <w:tcPr>
            <w:tcW w:w="2481"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20"/>
                <w:szCs w:val="20"/>
                <w:lang w:val="en-US" w:eastAsia="ru-RU"/>
              </w:rPr>
              <w:t>________________</w:t>
            </w:r>
          </w:p>
        </w:tc>
        <w:tc>
          <w:tcPr>
            <w:tcW w:w="4606"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r w:rsidRPr="00875D57">
              <w:rPr>
                <w:rFonts w:ascii="Times New Roman" w:hAnsi="Times New Roman"/>
                <w:b/>
                <w:sz w:val="20"/>
                <w:szCs w:val="20"/>
                <w:lang w:val="en-US" w:eastAsia="ru-RU"/>
              </w:rPr>
              <w:t>Тимошенко Вікторія Вікторівна</w:t>
            </w:r>
          </w:p>
        </w:tc>
      </w:tr>
      <w:tr w:rsidR="00875D57" w:rsidRPr="00875D57" w:rsidTr="00073F6D">
        <w:tc>
          <w:tcPr>
            <w:tcW w:w="3227"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c>
          <w:tcPr>
            <w:tcW w:w="2481" w:type="dxa"/>
            <w:shd w:val="clear" w:color="auto" w:fill="auto"/>
            <w:vAlign w:val="center"/>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0"/>
                <w:szCs w:val="20"/>
                <w:lang w:val="en-US" w:eastAsia="ru-RU"/>
              </w:rPr>
            </w:pPr>
            <w:r w:rsidRPr="00875D57">
              <w:rPr>
                <w:rFonts w:ascii="Times New Roman" w:hAnsi="Times New Roman"/>
                <w:b/>
                <w:color w:val="000000"/>
                <w:sz w:val="16"/>
                <w:szCs w:val="16"/>
                <w:lang w:val="en-US" w:eastAsia="ru-RU"/>
              </w:rPr>
              <w:t>(</w:t>
            </w:r>
            <w:r w:rsidRPr="00875D57">
              <w:rPr>
                <w:rFonts w:ascii="Times New Roman" w:hAnsi="Times New Roman"/>
                <w:b/>
                <w:color w:val="000000"/>
                <w:sz w:val="16"/>
                <w:szCs w:val="16"/>
                <w:lang w:val="ru-RU" w:eastAsia="ru-RU"/>
              </w:rPr>
              <w:t>підпис</w:t>
            </w:r>
            <w:r w:rsidRPr="00875D57">
              <w:rPr>
                <w:rFonts w:ascii="Times New Roman" w:hAnsi="Times New Roman"/>
                <w:b/>
                <w:color w:val="000000"/>
                <w:sz w:val="16"/>
                <w:szCs w:val="16"/>
                <w:lang w:val="en-US" w:eastAsia="ru-RU"/>
              </w:rPr>
              <w:t>)</w:t>
            </w:r>
          </w:p>
        </w:tc>
        <w:tc>
          <w:tcPr>
            <w:tcW w:w="4606" w:type="dxa"/>
            <w:shd w:val="clear" w:color="auto" w:fill="auto"/>
          </w:tcPr>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tc>
      </w:tr>
    </w:tbl>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lang w:val="en-US" w:eastAsia="ru-RU"/>
        </w:rPr>
      </w:pPr>
    </w:p>
    <w:p w:rsidR="00875D57" w:rsidRPr="00875D57" w:rsidRDefault="00875D57" w:rsidP="00875D57">
      <w:pPr>
        <w:spacing w:after="0" w:line="240" w:lineRule="auto"/>
        <w:jc w:val="center"/>
        <w:rPr>
          <w:rFonts w:ascii="Times New Roman" w:hAnsi="Times New Roman"/>
          <w:b/>
          <w:sz w:val="24"/>
          <w:szCs w:val="24"/>
        </w:rPr>
      </w:pPr>
      <w:r w:rsidRPr="00875D57">
        <w:rPr>
          <w:rFonts w:ascii="Times New Roman" w:hAnsi="Times New Roman"/>
          <w:b/>
          <w:sz w:val="24"/>
          <w:szCs w:val="24"/>
        </w:rPr>
        <w:t xml:space="preserve">Примітки до </w:t>
      </w:r>
      <w:r w:rsidRPr="00875D57">
        <w:rPr>
          <w:rFonts w:ascii="Times New Roman" w:hAnsi="Times New Roman"/>
          <w:b/>
          <w:sz w:val="24"/>
          <w:szCs w:val="24"/>
          <w:lang w:val="en-US"/>
        </w:rPr>
        <w:t xml:space="preserve">фінансової </w:t>
      </w:r>
      <w:r w:rsidRPr="00875D57">
        <w:rPr>
          <w:rFonts w:ascii="Times New Roman" w:hAnsi="Times New Roman"/>
          <w:b/>
          <w:sz w:val="24"/>
          <w:szCs w:val="24"/>
        </w:rPr>
        <w:t>звітності, складені відповідно до міжнародних стандартів фінансової звітності</w:t>
      </w:r>
    </w:p>
    <w:p w:rsidR="00875D57" w:rsidRPr="00875D57" w:rsidRDefault="00875D57" w:rsidP="00875D57">
      <w:pPr>
        <w:spacing w:after="0" w:line="240" w:lineRule="auto"/>
        <w:jc w:val="center"/>
        <w:rPr>
          <w:rFonts w:ascii="Times New Roman" w:hAnsi="Times New Roman"/>
          <w:b/>
          <w:sz w:val="24"/>
          <w:szCs w:val="24"/>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З ОБМЕЖЕНОЮ ВІДПОВІДАЛЬНІСТЮ "ФІНАНСОВА КОМПАНІЯ "А-ФІНАНС"</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Річна фінансова звітність та Примітки до річної фінансової звітності 2024 рік за період, що закінчився 31 грудня 2024 року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ЗМІСТ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w:t>
      </w:r>
      <w:r w:rsidRPr="00875D57">
        <w:rPr>
          <w:rFonts w:ascii="Times New Roman" w:hAnsi="Times New Roman"/>
          <w:sz w:val="20"/>
          <w:szCs w:val="20"/>
          <w:lang w:val="en-US"/>
        </w:rPr>
        <w:tab/>
        <w:t>ЗАЯВА ПРО ВІДПОВІДАЛЬНІСТЬ КЕРІВНИЦТВА ЗА ПІДГОТОВКУ ТА ЗАТВЕРДЖЕННЯ РІЧНОЇ ФІНАНСОВОЇ ЗВІТНОСТІ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w:t>
      </w:r>
      <w:r w:rsidRPr="00875D57">
        <w:rPr>
          <w:rFonts w:ascii="Times New Roman" w:hAnsi="Times New Roman"/>
          <w:sz w:val="20"/>
          <w:szCs w:val="20"/>
          <w:lang w:val="en-US"/>
        </w:rPr>
        <w:tab/>
        <w:t>РІЧНА ФІНАНСОВА ЗВІТНІСТЬ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2.1.Баланс (Звіт про фінансовий стан) станом на 31.12.2024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2.2 Звіт про фінансові результати (Звіт про сукупний дохід) за 2024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2.3 Звіт про рух грошових коштів (за прямим методом) за 2024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2.4 Звіт про власний капітал за 2024 рік;</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Інформація про Компанію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 Економічне середовище, в якому Товариство проводить свою діяльність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 Основи підготовки річної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5.1. Суттєві положення облікової політики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5.1.1  Основні судження, оцінки та фактори невизначеності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5.1. 2.Основні положення облікової політики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5.2. Застосування нових стандартів та змін до МСФЗ/МСБО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5.3. Розкриття інформації щодо використання справедливої вартості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 Розкриття інформації щодо Звіту про фінансовий стан (Балансу)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 Нематеріальні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6.2. Основні засоби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6.3. Незавершені капітальні інвестиції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6.4. Фінансові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6.5. Грошові кошти та їх еквіваленти, фінансові інвестиції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6.6. Запаси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6.7. Витрати майбутніх періодів та інші необоротні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6.8  Необоротні активи, утримувані для продажу та групи вибуття</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6.9. Відомості про власний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6.10. Зареєстрований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6.11. Довгострокові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6.12. Поточні зобов'язання за розрахунками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6.13. Поточні забезпечення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 Розкриття інформації щодо звіту про фінансові результати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7.1. Дохід від реалізації товарів, робіт та послуг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7.2. Інші операційні доходи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7.3. Операційні витрати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7.4. Фінансовий результат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7.5. Податок на прибуток</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8. Розкриття інформації щодо звіту про рух грошових коштів (за прямим методом)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 Розкриття інформації щодо звіту про власний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10 Операції з пов'язаними сторонами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11. Фактичні та потенційні фінансові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12. Управління ризиками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13. Управління капіталом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14. Умовні зобов'язання та умовні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15.  Плани щодо безперервної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16. Події після дати балансу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 ЗАЯВА ПРО ВІДПОВІДАЛЬНІСТЬ КЕРІВНИЦТВА ЗАТВЕРДЖЕННЯ РІЧНОЇ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Ми підготували подану нижче річну фінансову звітність та відповідні примітки до цієї звітності ТОВАРИСТВА З ОБМЕЖЕНОЮ ВІДПОВІДАЛЬНІСТЮ ФІНАНСОВА КОМПАНІЯ "А-ФІНАНС"(далі Товариство, Компанія), що складається зі звіту про фінансовий стан станом на 31 грудня 2024 року та звіту про прибуток чи збиток та інший сукупний дохід, звіту про зміни капіталу та звіту про рух грошових коштів за 2024 рік, а також опису основних принципів облікової політики та інших пояснювальних приміток до річної фінансової звітності. Ця річна фінансова звітність достовірно відображає, в усіх суттєвих аспектах, річний фінансовий стан, річні фінансові результати та річний рух грошових коштів Товариство, Компанія відповідно до Міжнародних стандартів фінансової звітності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Керівництво Товариство, Компанія несе відповідальність за те, щоб бухгалтерський облік, який ведеться в Товариство, Компанія, розкривав з достатньою точністю її фінансовий стан, фінансові результати та грошові потоки і забезпечував відповідність її річної фінансової звітності МСФЗ. Керівництво також несе загальну відповідальність за вжиття заходів, обґрунтованих та необхідних для забезпечення збереження активів Товариство, Компанія та виявлення й попередження зловживань та інших порушень.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Керівництво вважає, що в процесі підготовки цієї річної фінансової звітності Товариство, Компанія застосовувала належну облікову політику, її застосування було послідовним і підтверджувалося обґрунтованими та виваженими припущеннями та розрахунками. Також було дотримано всіх відповідних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Ця фінансова звітність затверджується керівництвом Товариство, Компанія, що відповідає положенням МСБО 10 "Події після звітного періоду".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Директор ТОВ  ФК "А-ФІНАНС" Мороз О.Т.</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Головний бухгалтер ТОВ  ФК "А-ФІНАНС" Тимошенко В.В.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Інформація про Товариство, Компанія, що звітує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Повне найменування юридичної особи та скорочене у разі його наявності</w:t>
      </w:r>
      <w:r w:rsidRPr="00875D57">
        <w:rPr>
          <w:rFonts w:ascii="Times New Roman" w:hAnsi="Times New Roman"/>
          <w:sz w:val="20"/>
          <w:szCs w:val="20"/>
          <w:lang w:val="en-US"/>
        </w:rPr>
        <w:tab/>
        <w:t>ТОВАРИСТВА З ОБМЕЖЕНОЮ ВІДПОВІДАЛЬНІСТЮ "ФІНАНСОВА КОМПАНІЯ "А-ФІНАНС"</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Ідентифікаційний код юридичної особи</w:t>
      </w:r>
      <w:r w:rsidRPr="00875D57">
        <w:rPr>
          <w:rFonts w:ascii="Times New Roman" w:hAnsi="Times New Roman"/>
          <w:sz w:val="20"/>
          <w:szCs w:val="20"/>
          <w:lang w:val="en-US"/>
        </w:rPr>
        <w:tab/>
        <w:t>43064717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Дата та номер запису в Єдиному державному реєстрі про проведення державної реєстрації юридичної особи </w:t>
      </w:r>
      <w:r w:rsidRPr="00875D57">
        <w:rPr>
          <w:rFonts w:ascii="Times New Roman" w:hAnsi="Times New Roman"/>
          <w:sz w:val="20"/>
          <w:szCs w:val="20"/>
          <w:lang w:val="en-US"/>
        </w:rPr>
        <w:tab/>
        <w:t>Дата запису: 18.06.2019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Номер запису: 10701020000083063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Місцезнаходження юридичної особи</w:t>
      </w:r>
      <w:r w:rsidRPr="00875D57">
        <w:rPr>
          <w:rFonts w:ascii="Times New Roman" w:hAnsi="Times New Roman"/>
          <w:sz w:val="20"/>
          <w:szCs w:val="20"/>
          <w:lang w:val="en-US"/>
        </w:rPr>
        <w:tab/>
        <w:t>Україна, 01042, місто Київ, БУЛЬВАР МАРІЇ ПРИЙМАЧЕНКО, будинок 1/27, офіс 304/6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Перелік засновників юридичної особи </w:t>
      </w:r>
      <w:r w:rsidRPr="00875D57">
        <w:rPr>
          <w:rFonts w:ascii="Times New Roman" w:hAnsi="Times New Roman"/>
          <w:sz w:val="20"/>
          <w:szCs w:val="20"/>
          <w:lang w:val="en-US"/>
        </w:rPr>
        <w:tab/>
        <w:t>ТОВАРИСТВО З ОБМЕЖЕНОЮ ВІДПОВІДАЛЬНІСТЮ "ІНВЕСТ ДІЛ ГРУП", Код ЄДРПОУ:43044931, Місцезнаходження: Україна, 01042, місто Київ, БУЛЬВАР МАРІЇ ПРИЙМАЧЕНКО, будинок 1/27, офіс 304, Розмір частки засновника (учасника): 5096000,00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Дані про розмір статутного капіталу станом на 31.12.2024 року</w:t>
      </w:r>
      <w:r w:rsidRPr="00875D57">
        <w:rPr>
          <w:rFonts w:ascii="Times New Roman" w:hAnsi="Times New Roman"/>
          <w:sz w:val="20"/>
          <w:szCs w:val="20"/>
          <w:lang w:val="en-US"/>
        </w:rPr>
        <w:tab/>
        <w:t>Розмір (грн.): 18 896 000.00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Види діяльності</w:t>
      </w:r>
      <w:r w:rsidRPr="00875D57">
        <w:rPr>
          <w:rFonts w:ascii="Times New Roman" w:hAnsi="Times New Roman"/>
          <w:sz w:val="20"/>
          <w:szCs w:val="20"/>
          <w:lang w:val="en-US"/>
        </w:rPr>
        <w:tab/>
        <w:t>64.92 Інші види кредитування (основний)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64.91 Фінансовий лізинг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64.99 Надання інших фінансових послуг (крім страхування та пенсійного забезпечення), н.в.і.у.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Інформація про дозволи - ліцензії на провадження діяльності станом на 31.12.2024р.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Термін дії-необмежений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Розпорядження Нацкомфінпослуг №2656 від 17.12.2019р.</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надання коштів у позику, в тому числі і на умовах фінансового кредиту (строк дії ліцензії необмежений);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послуги факторингу (строк дії ліцензії необмежений);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Надання послуг з фінансового лізингу (строк дії ліцензії необмежений).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Офіційна сторінка в Інтернеті</w:t>
      </w:r>
      <w:r w:rsidRPr="00875D57">
        <w:rPr>
          <w:rFonts w:ascii="Times New Roman" w:hAnsi="Times New Roman"/>
          <w:sz w:val="20"/>
          <w:szCs w:val="20"/>
          <w:lang w:val="en-US"/>
        </w:rPr>
        <w:tab/>
        <w:t>http://a-finance.in.ua/</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Адреса електронної пошти</w:t>
      </w:r>
      <w:r w:rsidRPr="00875D57">
        <w:rPr>
          <w:rFonts w:ascii="Times New Roman" w:hAnsi="Times New Roman"/>
          <w:sz w:val="20"/>
          <w:szCs w:val="20"/>
          <w:lang w:val="en-US"/>
        </w:rPr>
        <w:tab/>
        <w:t>fc_afinance@ukr.net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Кількість працівників станом на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31 грудня 2024 року </w:t>
      </w:r>
      <w:r w:rsidRPr="00875D57">
        <w:rPr>
          <w:rFonts w:ascii="Times New Roman" w:hAnsi="Times New Roman"/>
          <w:sz w:val="20"/>
          <w:szCs w:val="20"/>
          <w:lang w:val="en-US"/>
        </w:rPr>
        <w:tab/>
        <w:t>28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Директор</w:t>
      </w:r>
      <w:r w:rsidRPr="00875D57">
        <w:rPr>
          <w:rFonts w:ascii="Times New Roman" w:hAnsi="Times New Roman"/>
          <w:sz w:val="20"/>
          <w:szCs w:val="20"/>
          <w:lang w:val="en-US"/>
        </w:rPr>
        <w:tab/>
        <w:t>Мороз Олександр Тимофійович</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Кінцевий бенефіціарний власник</w:t>
      </w:r>
      <w:r w:rsidRPr="00875D57">
        <w:rPr>
          <w:rFonts w:ascii="Times New Roman" w:hAnsi="Times New Roman"/>
          <w:sz w:val="20"/>
          <w:szCs w:val="20"/>
          <w:lang w:val="en-US"/>
        </w:rPr>
        <w:tab/>
        <w:t>ГОНЧАРУК АНДРІЙ ВАСИЛЬОВИЧ, Україна, Україна, 52071, Дніпропетровська обл., Дніпровський р-н, селище Дослідне(пн), провулок Дослідний, будинок 15.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Тип бенефіціарного володіння: Непрямий вирішальний вплив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Відсоток частки статутного капіталу або відсоток права голосу: 100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Товариство, Товариство, Компанія має своїми основними цілями отримання прибутку від надання фінансових послуг.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Валютою звітності є гривня.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Звітність подано в тисячах гривень без десяткових знаків.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Суттєвою інформацією визнається інформація, відсутність якої в фінансових звітах і примітках до них може вплинути на рішення його користувачів.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Річна фінансова звітність ТОВАРИСТВА З ОБМЕЖЕНОЮ ВІДПОВІДАЛЬНІСТЮ "А-ФІНАНС " затверджена до випуску керівником 28 лютого 2025 р. Після дати затвердження можливість внесення змін в цю фінансову звітність не передбачена відповідно до МСБО 10.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4. </w:t>
      </w:r>
      <w:r w:rsidRPr="00875D57">
        <w:rPr>
          <w:rFonts w:ascii="Times New Roman" w:hAnsi="Times New Roman"/>
          <w:sz w:val="20"/>
          <w:szCs w:val="20"/>
          <w:lang w:val="en-US"/>
        </w:rPr>
        <w:tab/>
        <w:t>Економічне середовище, в якому Товариство проводить свою діяльність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Після 24 лютого 2022, збройний конфлікт на території Луганської та Донецької областей, який розпочався навесні 2014 року, переріс у повномасштабне військове протистояння після вторгнення збройних сил РФ на територію України 24 лютого 2022 року. По всій території України на разі запроваджено воєнний стан з відповідними заборонами та обмеженнями військового часу, передбаченими законодавством.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Головним та визначальним ризиком повномасштабної війни для України стала втрата людського капіталу, котра відбулася внаслідок потужної міграції людей - як за кордон, так і всередині країни. Чимало кваліфікованих та продуктивних працівників фактично вибули з виробничого процесу. Різко збільшилося безробіття, за деякими оцінкам - досягло близько 30 %, зросло навантаження на систему соціального захисту. При цьому ринку праці притаманна розбалансованість у професійно-кваліфікаційному та регіональному вимірах.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Війна призвела до значного скорочення виробництва - спад ВВП, за оцінками, перевищить 30 %, більш ніж на третину скоротиться промислове виробництво, причому в деяких секторах (наприклад, у металургії), скорочення сягає 70 %, що зумовлено як фактичною втратою частини виробничого потенціалу, так і руйнуванням логістичних ланцюгів.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Ознакою воєнних ризиків стало різке порушення ланцюгів постачання та збуту через фактичне руйнування частини транспортної інфраструктури, погіршення якості транспортних комунікацій (перевантаження напрямів), унеможливлення транспортування переважної більшості товарів морським шляхом, втрата сегментів, пов'язаних з ринками  росії та Білорусі.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фінансовій сфері основними ризиками варто визнати рекордне збільшення дефіциту державного бюджету (31,7 % ВВП) та державного боргу, через збільшення видатків на оборону - близько 20 % ВВП - й соціальні потреби. А також через вимушене проведення значної податкової лібералізації у перші місяці війни, що призвело до недоотримання потенційних ресурсів як центрального, так і місцевих бюджетів.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 умовах війни значно скоротилося банківське кредитування, що надається на стандартних ринкових умовах. Таке скорочення розпочалося внаслідок погіршення платоспроможності позичальників та зростання ризиків. Проте надалі гальмування розвинулося через різке підвищення облікової ставки НБУ та переорієнтації в цих умовах значних коштів банків на безризикові фінансові інструменти (депозитні сертифікати) НБУ.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Ці чинники можуть мати різноспрямований вплив на результати діяльності й фінансовий стан звітуючого підприємства. Однак міра такого впливу наразі не може бути достовірно визначена. Керівництво ретельно стежить за поточним станом розвитку подій і вживає необхідних заходів для послаблення впливу негативних чинників. Незважаючи на наявні ризики, керівництво Товариство, Товариство, Компанія вважає, що загроза припинення діяльності є малоймовірною.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Товариство, Компанія є небанківською фінансовою установою. 19 жовтня 2019 року набув чинності Закон № 79-ІX "Про внесення змін до деяких законодавчих актів України щодо удосконалення функцій із державного регулювання ринків фінансових послуг". Відповідно до Закону Національний банк України з 1 липня 2020 року став регулятором страхових, лізингових, фінансових компаній, кредитних спілок, ломбардів та бюро кредитних історій.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 Основи підготовки річної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Випуск річної фінансової звітності ТОВАРИСТВА З ОБМЕЖЕНОЮ ВІДПОВІДАЛЬНІСТЮ ФІНАНСОВА КОМПАНІЯ "А-ФІНАНС" (далі - "Товариство, Компанія") за період з 01.01.2024 року по 31.12.2024 року підписано керівником - 28.02.2025 року.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Річна фінансова звітність Товариство, Компанія є фінансовою звітністю загального призначення, яка сформована з метою достовірно подання фінансового стану, фінансових результатів діяльності та грошових потоків Товариство, Компанія для задоволення інформаційних потреб широкого кола користувачів при прийнятті ними економічних рішень.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Концептуальною основою річної фінансової звітності Товариство, Компанія за 2024 рік  - період, що закінчився 31 грудня 2024 року, є Міжнародні стандарти фінансової звітності (МСФЗ), включаючи Міжнародні стандарти бухгалтерського обліку (МСБО) та Тлумачення (КТМФЗ, ПКТ), видані Радою з Міжнародних стандартів бухгалтерського обліку (РМСБО), в редакції чинній на звітну дату, що офіційно оприлюдненні на веб-сайті Міністерства фінансів України.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Річна фінансова звітність містить повний комплект який містить такі складові: звіт про фінансовий стан на кінець періоду; звіт про прибутки і збитки та інший сукупний дохід за період; звіт про зміни у власному капіталі за період; звіт про рух грошових коштів за період; примітки, які містять  виклад суттєвих облікових політик, іншу пояснювальну інформацію.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Бухгалтерський облік Товариство здійснює відповідно до вимог щодо організації бухгалтерського обліку та складання фінансової звітності в Україні, встановлених Законом "Про бухгалтерський облік та фінансову звітність" із застосуванням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Ця річна фінансова звітність підготовлена стосовно одного суб'єкта господарювання на основі принципу оцінки за історичною вартістю, за винятком оцінки фінансових інструментів у відповідності до МСФЗ 9 "Фінансові інструменти" (далі - МСФЗ 9).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Річна фінансова звітність складається з урахуванням суттєвості. Інформація є суттєвою, якщо її не наведення, викривлення або завуальовувано може, згідно з обґрунтованими очікуваннями, вплинути на рішення, що приймаються основними користувачами фінансової звітності загального призначення на підставі такої звітності, яка надає фінансову інформацію про Товариство, Компанія. Суттєвість ґрунтується на характері або величині (чи обох чинників ) статей, яких стосується ця інформація у контексті фінансової звітності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для мети річної фінансової звітності встановило такі кількісні пороги суттєвості: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Порогом суттєвості окремих об'єктів обліку (помилок), що належать до активів, зобов'язань, капіталу, доходів, витрат Товариство, Компанія, є величина в 1 відсоток відповідно до підсумку всіх активів, усіх зобов'язань, капіталу, усіх доходів і всіх витрат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Порогом суттєвості з метою відображення переоцінки або зменшення корисності об'єктів обліку може прийматися величина, що дорівнює 1 відсотку чистого прибутку (збитку) Товариства, або величина, що дорівнює 10-відсотковому відхиленню залишкової вартості об'єктів обліку від їх справедливої вартості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Критерій суттєвості для відображення в бухгалтерському обліку та  фінансовій звітності операцій, пов'язаних із рухом активів, зобов'язань, власного капіталу, визнанням доходів і витрат,  встановлено у розмірі 0,1%  від суми прибутку з реалізації (товарів, робіт та послуг).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Статті фінансової звітності  формуються  з урахуванням суттєвості. Якщо окрема стаття не є суттєвою, то підлягає об'єднанню з іншими статтями безпосередньо у звіті, чи у примітках. Стаття, яка може бути визнана несуттєвою для окремого подання її у фінансовому звіті, може  бути достатньо суттєвою для окремого розкриття її в примітках до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розкриває суттєву інформацію як окрему статтю фінансових звітів або приміток до них, а несуттєву - об'єднує із сумами, подібними за економічною сутністю чи функціями. Товариство розкриває інформацію за активами, зобов'язаннями, доходами та витратами в статті "Інші" у примітках до фінансової звітності, якщо суми становлять понад 10 % від загальних сум відповідних елементів фінансової звітності (активів, зобов'язань, доходів та витрат).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відображає активи та зобов'язання у Звіті про фінансовий стан (Баланс) з розподілом на поточні/короткострокові та непоточні/довгострокові До поточних включаються грошові кошти, поточні фінансові інвестиції (портфель), дебіторська заборгованість (в тому числі за нарахованими відсотками) зі строком погашення - до 1 року - , фінансові зобов'язання та кредиторська заборгованість - зі строком погашення - до 1 року, поточні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непоточних включаються нематеріальні активи, основні засоби, фінансові інвестиції крім портфельних, відстрочені податкові активи та зобов'язання, акціонерний капітал та резерви, сформовані за рахунок нерозподіленого прибутку, довгострокові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складає Звіт про прибутки і збитки та інший сукупний дохід (Звіт про фінансові результати) із статей доходів та витрат, які групуються за їх характером та основними видами доходів і витрат за звітний період наростаючим підсумком.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у Звіті про рух грошових коштів відображає джерела отриманих готівкових та безготівкових коштів, напрям їх використання у звітному періоді, рух грошових коштів за звітний період залежно від виду діяльності (операційна, інвестиційна, фінансова). Загальний чистий результат руху грошових коштів та їх еквівалентів від усіх видів діяльності має відповідати різниці між залишками грошових коштів та їх еквівалентів на початок і кінець звітного періоду.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Функціональна валюта та валюта подання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Функціональною валютою цієї річної фінансової звітності є національна валюта України, гривня. Операції у валютах, які відрізняються від функціональної валюти Товариство, Компанія, вважаються операціями в іноземних валютах.</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Припущення щодо функціонування компанії в найближчому майбутньому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Річна фінансова звітність була складена на основі принципу безперервності діяльності, який передбачає, що Товариство, Компанія буде продовжувати свою діяльність у найближчому майбутньому, а також зможе реалізувати свої активи та погасити свої зобов'язання у ході звичайної діяльності. Формуючи таке професійне судження, керівництво врахувало фінансовий стан, свої існуючі наміри, можливу  фінансову підтримку з боку учасника Товариство, Компанія,  заплановану прибутковість діяльності у майбутньому і доступ до фінансових ресурсів, а також проаналізувало вплив поточної фінансової та економічної ситуації на майбутню діяльність Товариства.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думку керівництва, застосування припущення щодо здатності Товариство, Компанія продовжувати свою діяльність на безперервній основі є адекватним, враховуючи належний рівень достатності його капіталу, наміри учасника надавати підтримку Банку, а також на основі історичного досвіду, який свідчить, що короткострокові зобов'язання будуть погашені у ході звичайної діяльності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Керівництво Товариство, Компанія детально проаналізувало ризики, відносно несприятливого зовнішнього та внутрішнього середовища у зв'язку з військовою агресією російської федерації та введенням в Україні воєнного стану, в умовах складної політичної ситуації, коливання курсу національної валюти, відсутність чинників покращення інвестиційного клімату в сукупності створюють суттєву невизначеність, що може поставити під значний сумнів здатність Товариство, Компанія продовжувати свою діяльність на безперервній основі та яка може вплинути на майбутні операції та можливість збереження вартості його активів. Вплив такої майбутньої невизначеності наразі неможливо оцінити..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Річна фінансова звітність Товариство, Компанія ґрунтується на інформації, яка була доступною на звітну дату; всі оцінки та припущення, які впливають на показники фінансової звітності станом на 31.12.2024р., базувалися лише на інформації, яка свідчила про умови, що існували на кінець звітного періоду. Зокрема, припущення, що використовуються в розрахунках знецінення та оцінці справедливої вартості фінансових та нефінансових активів на звітну дату, відображали обґрунтовану та підтверджену інформацію, наявну станом на 31 грудня 2024 року.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Управлінський персонал Товариство, Компанія оцінив її здатність продовжувати безперервну діяльність; сформулював судження про майбутні невизначені результати подій чи умов на підставі розгляду можливих сценаріїв розвитку подій, пов'язаних з воєнною агресією РФ.</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 думкою керівництва Товариство, Компанія, найбільш вірогідним є такий сценарій розвитку подій: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-існують значні сумніви і невизначеність щодо безперервності діяльності, але пом'якшувальні дії управлінського персоналу Товариство, Компанія, спрямовані на зменшення негативного впливу цих подій на її діяльність, визнані достатніми для забезпечення безперервності діяльності. Суттєва невизначеність щодо безперервності діяльності залишається після розгляду заходів щодо пом'якшення впливу вказаних подій на діяльність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Незважаючи на наявні ризики та суттєву невизначеність, Керівництво Товариство, Компанія  вважає, що загроза припинення її діяльності є малоймовірною.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Основа складання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Ця річна фінансова звітність підготовлена на базі історичної собівартості  за винятком оцінки за справедливою та амортизованою вартістю для окремих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Оцінка за справедливою вартістю використовується  для фінансових інструментів відповідно до МСФЗ 9 "Фінансові інструменти". Фінансові інструменти можуть становити значну частину активів Товариство, Компанія. Тому під час визначення їх справедливої вартості передбачається застосування методів оцінки фінансових інструментів, які дозволені МСФЗ 13 "Оцінки справедливої вартості". Такі методи оцінки включають дані, отримані із відкритих джерел, про поточну ринкову вартість даного або іншого (аналогічного за характером) активу - фінансового інструменту; розрахунок та аналіз дисконтованих грошових потоків або інші моделі визначення справедливої вартості (у разі відсутності відкритих даних про справедливу вартість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Оцінка справедливої вартості здійснюється з використанням методів оцінки фінансових інструментів, дозволених МСФЗ 13 "Оцінки за справедливою вартістю".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Передбачувана справедлива вартість фінансових активів і зобов'язань визначається з використанням наявної інформації про ринок і відповідних методів оцінки.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Основні засоби та нематеріальні активи оцінюються на основі історичної собівартості.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5.1.СУТТЄВІ ПОЛОЖЕННЯ ОБЛІКОВОЇ ПОЛІТИКИ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5.1.1.ОСНОВНІ СУДЖЕННЯ, ОЦІНКИ ТА ФАКТОРИ НЕВИЗНАЧЕНОСТІ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Згідно з МСБО 1 "Подання фінансової звітності" Товариство, Компанія веде облік і подає операції та інші події відповідно до їхнього змісту та економічної сутності, а не тільки їхньої юридичної форми.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Складання фінансової звітності вимагає від керівництва оцінок і припущення, що впливають на суми, відображені у фінансовій звітності та примітках до неї. Ці оцінки ґрунтуються на інформації, наявній на звітну дату.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Основні оцінки та припущення про майбутні події, а також інші основні джерела невизначеності в оцінках, зроблених на звітну дату, які можуть являти собою значний ризик необхідності суттєвих коригувань балансової вартості активів і зобов'язань, розглядаються нижче.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Знецінення активів - визначення груп активів, що генерують грошові потоки.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Зменшення корисності фінансових інструментів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відповідності до вимог МСФЗ 9 "Фінансові інструменти" Товариство визнає резерв під очікувані кредитні збитки за такими фінансовими інструментами, які не оцінюються за справедливою вартістю, із відображенням переоцінки у складі прибутку або збитку. Зокрема, це такі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грошові кошти та їхні еквіваленти;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права вимог за договорами факторингу;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дебіторська заборгованість, визнана боржниками;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дебіторська заборгованість за нарахованими процентами;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інші фінансові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Об'єктивним свідченням знецінення фінансових активів є інформація, яка стосується таких збиткових подій: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Фактичного розірвання контракту, внаслідок невиконання умов договору, або простроченні виплати процентів чи основної суми;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Високої ймовірності банкрутства контрагента;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Реорганізації контрагента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Зникнення активного ринку для цих фінансових інструментів через фінансові труднощі емітента.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оцінює очікувані кредитні збитки на індивідуальній основі або груповій основі для портфелів придбаних за договорами факторингу, які мають аналогічні характеристики ризиків. Оцінка резерву під збитки базується на теперішній вартості очікуваних грошових потоків від активу із використанням первісної ефективної ставки відсотка активу, незалежно від того чи оцінюється він на індивідуальній чи груповій основі.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Строки корисного використання основних засобів та нематеріальних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(спеціально створеною Комісією) оцінює строки корисного використання об'єктів основних засобів на основі очікувань щодо їх майбутнього використання з урахуванням технологічного розвитку, конкуренції, змін ринкової кон'юнктури та інших чинників. Строки корисного використання основних засобів та нематеріальних активів переглядаються не рідше одного разу на рік на при кінці кожного фінансового року.                                         У випадку, якщо очікування відрізняються від попередніх оцінок, зміни обліковуються як зміни в облікових оцінках відповідно до МСБО 8 "Облікові політики, зміни в облікових оцінках та помилки". Зазначені оцінки можуть мати перспективний вплив на балансову вартість основних засобів та нематеріальних активів у звіті про фінансовий стан і на суму амортизації, відображену у складі витрат в Звіті про прибутки і збитки.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Податкове законодавство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Податкове, валютне та мите законодавство України може тлумачитись по-різному і часто змінюється. Відповідні органи можуть не погодитися з тлумаченнями цього законодавства керівництвом Товариства у зв'язку з діяльністю та операціями в рамках цієї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Податкові органи можуть перевіряти податкові питання у фінансових періодах протягом трьох календарних років після їх закінчення. За певних обставин перевірка може стосуватися довших періодів. В результаті можуть бути нараховані додаткові суттєві суми податків, штрафи та пені.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Рекласифікації у фінансовій звітності та виправлення помилок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кожну звітну дату Товариство здійснює оцінку фінансових активів та зобов'язань, в результаті чого може бути здійснена рекласифікація з подальшим відображенням у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Помилки можуть виникати щодо визнання, оцінки, подання або розкриття інформації про елементи фінансової звітності. Фінансова звітність не відповідає МСФЗ, якщо вона містить або суттєві помилки, або несуттєві помилки, зроблені навмисно для досягнення особливого подання фінансового стану, фінансових результатів діяльності або грошових потоків суб'єкта господарювання. Потенційні помилки поточного періоду, виявлені протягом цього періоду, виправляють до затвердження фінансової звітності до випуску. Товариство виправляє суттєві помилки попереднього періоду ретроспективно в першому комплекті фінансових звітів, затверджених до випуску після їх виявлення.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5.1.2 ОСНОВНІ ПОЛОЖЕННЯ ОБЛІКОВОЇ ПОЛІТИКИ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Облікова політика, викладена нижче, послідовно застосовувалася до всіх періодів, представлених у цій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Класифікація активів та зобов'язань на короткострокові/поточні та довгострокові / непоточні.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Класифікація активів та зобов'язань за строками погашення (поточні/непоточні) здійснюється під час їх первинного визнання залежно від терміну існування, користування, володіння ними Товариством в порівнянні з її операційним циклом. Тривалість операційного циклу складає один календарний рік. Тобто, на дату оприбуткування активи та зобов'язання класифікуються за строками: непоточні (більше одного року) та поточні (менші та на рівні одного року).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Для визначення дати визнання або погашення активів та зобов'язання Товариство користується договорами та чинним законодавством.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Основні засоби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Визнання, облік та оцінка основних засобів здійснюється відповідно до вимог МСБО 16 "Основні засоби".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Основними засобами вважаються активи, які Товариство, Компанія придбає з метою використання їх в процесі своєї діяльності, надання послуг, для здійснення адміністративних функцій, очікуваний строк корисного використання яких більше одного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Після визнання активом, об'єкт основних засобів згідно з моделлю, обраною Товариство, Компанія, слід облікувати за його первісною вартістю придбання, яка складається з ціни придбання, мита, непрямих податків, що не підлягають відшкодуванню, та інших витрат безпосередньо пов'язаних з його придбанням та доведенням до стану, у якому він придатний для використання за призначенням, мінус будь-яка накопичена амортизація та будь-які накопичені збитки від зменшення корисності.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Одиницею обліку основних засобів рахується окремий об'єкт. У випадку придбання одного об'єкту основних засобів, що складається з частин, які мають різний строк корисного використання, кожна з цих частин визнається як окремий об'єкт основних засобів.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Нарахування амортизації активу починається з дати, коли він став придатним для використання. Знос нараховується за прямолінійним методом протягом таких строків їх корисної служби. Терміни корисного використання основних засобів Товариство, Компанія складає від 2-х до10 років, але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комп'ютерне та офісне обладнання - 2 роки;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електронно-обчислювальні машини, інші машини для автоматичного оброблення інформації, пов'язані з ними засоби зчитування або друку інформації, пов'язані з ними комп'ютерні програми (крім програм, витрати на придбання яких визнаються роялті, та/або програм, які визнаються нематеріальним активом), інші інформаційні системи, комутатори, маршрутизатори, модулі, модеми, джерела безперебійного живлення та засоби їх підключення до телекомунікаційних мереж, телефони (в тому числі стільникові), мікрофони і рації,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транспортні засоби - 5 років;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меблі та інвентар - 4 роки.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Ліквідаційна вартість основних засобів дорівнює 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Основний засіб знімається з обліку при його вибутті або у випадку, якщо від його подальшого використання не очікується отримання економічних вигід. Прибуток або збиток від вибуття активу (розраховується як різниця між чистими надходженнями від вибуття та балансовою вартістю активу), включається до звіту про сукупні прибутки та збитки за період, в якому визнання активу припиняється у складі інших операційних доходів і витрат.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Нематеріальні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Компанія визнає нематеріальні активи відповідно до вимог МСБО 38 "Нематеріальні активи" та використовує модель обліку нематеріальних активів за собівартістю. Ця модель передбачає, що нематеріальний актив після визнання обліковується за первісною вартістю за мінусом накопиченої амортизації та накопичених збитків від зменшення корисності. Для кожного нематеріального активу визначено термін корисної експлуатації. В </w:t>
      </w:r>
      <w:r w:rsidRPr="00875D57">
        <w:rPr>
          <w:rFonts w:ascii="Times New Roman" w:hAnsi="Times New Roman"/>
          <w:sz w:val="20"/>
          <w:szCs w:val="20"/>
          <w:lang w:val="en-US"/>
        </w:rPr>
        <w:lastRenderedPageBreak/>
        <w:t>середньому він складає 5 років, але не більше 120 місяців. Ліквідаційна вартість нематеріальних активів дорівнює нулю.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Вартість нематеріального активу з визначеним  терміном експлуатації, підлягає амортизації, і розподіляється  на систематичній основі протягом терміну його корисної експлуатації. Амортизація починається, коли актив є придатним для використання. Амортизація припиняється на дату, що настає раніше: або на дату, коли актив класифікується як такий, що утримується для продажу, або на дату, коли припиняється визнання активу. Товариство, Компанія до нематеріальних активів застосовує прямолінійний метод нарахування амортизації.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Нематеріальні активи з невизначеним або необмеженим терміном корисного використання не амортизуються (Ліцензії Товариство, Компанія з необмеженим терміном дії).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Нематеріальні активи Товариство, Компанія включають переважно програмне забезпечення та комп'ютерні програми, що поки що не готові до  використання та здійснення професійної діяльності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Очікувані терміни корисного використання та методи нарахування амортизації переглядаються у кінці кожного звітного року. У випадку необхідності проводяться відповідні зміни в оцінках, щоб врахувати їх ефект у майбутніх звітних періодах.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Зменшення корисності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Балансова вартість всіх активів, за виключенням тих, до яких не застосовується МСБО 36 "Зменшення корисності активів" переглядається щодо можливого зменшення корисності. Сума втрат від зменшення корисності активу на кожну звітну дату балансу визначається як різниця між його балансовою вартістю та сумою очікуваного відшкодування. Максимальний період, на який складаються прогнози майбутніх потоків грошових коштів проведення тесту на знецінення - п'ять років.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Знецінення фінансових активів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Фінансовий актив є знеціненим, якщо існують об'єктивні свідчення того, що після первісного визнання активу відбулась подія, що спричинила збиток, і що ця подія справила негативний вплив на очікувану величину майбутніх грошових потоків від даного активу, розмір якої можна надійно розрахувати.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об'єктивних свідчень знецінення фінансових активів можуть бути віднесені неплатежі або інші невиконання боржниками своїх обов'язків, реструктуризація заборгованості перед Товариство, Компанія на умовах, які в іншому випадку Товариство, Компанія навіть не розглядалися б, ознаки можливого банкрутства боржника або емітента.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Ознаки, які свідчать про знецінення дебіторської заборгованості, Товариство, Компанія розглядає як на рівні окремих активів, так і на рівні портфеля. Всі такі активи, величина кожного з яких, взятого окремо, є значною, оцінюється на предмет знецінення в індивідуальному порядку. У тому випадку, якщо з'ясовується, що перевірені окремо значні статті дебіторської заборгованості, не знецінились, то їх потім об'єднують в портфель для перевірки на предмет знецінення, яке вже виникло, але ще не зафіксовано.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Щодо фінансового активу, який обліковується за амортизованою вартістю, сума збитку від знецінення розраховується як різниця між балансовою вартістю активу та теперішньою вартістю дисконтованих очікуваних майбутніх грошових потоків.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Лізинг (оренда)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Фінансова  оренда - Компанія в ролі орендодавця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Згідно з МСФЗ 16 оренда в обліку орендодавця класифікується як фінансова або операційна на дату вступу в силу договору. Оренда, при якій всі істотні ризики і вигоди, пов'язані з правом власності на об'єкт, передаються орендарю, є фінансовою орендою.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Моментом виникнення оренди є більш рання з дат: дата договору оренди (лізингу) або дати прийняття сторонами зобов'язань щодо основних положень оренди. На цю дату: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оренда класифікується як фінансова оренда; 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визначаються суми, які повинні бути визнані на дату початку оренди.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Датою початку лізингу є дата, з якої лізингоодержувач (орендар)  отримує право використовувати орендований актив. Це дата первісного визнання оренди (тобто визнання активів, зобов'язань, доходів або витрат, що виникають в результаті оренди, в залежності від ситуації).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Після початку фінансового лізингу Компанія відображає чисті інвестиції в оренду, які складаються з суми мінімальних орендних платежів і негарантованої ліквідаційної вартості (валові інвестиції в оренду) за вирахуванням незароблених доходів від фінансової оренди. Різниця між валовими інвестиціями і їх теперішньою вартістю відображається як незароблені доходи від фінансової оренди. Дохід від фінансової оренди включає в себе амортизацію незароблених доходів від фінансової оренди. Дохід від фінансової оренди визнається на основі схеми, що відображає постійну періодичну норму прибутковості чистих інвестицій щодо фінансової оренди. Початкові прямі витрати включаються в первісну оцінку дебіторської заборгованості по оренді. Первісні прямі витрати включають відрахування в пенсійний фонд і реєстраційні збори.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У доданому звіті про фінансовий стан орендні платежі, що підлягають сплаті на звітну дату, класифікуються як чисті інвестиції в оренду, в той час як передплачені орендні платежі класифікуються як інші зобов'язання.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Чисті інвестиції - це теперішні вартість всіх орендних платежів на весь строк оренди, а не поточних платежів! Тут слід змінити редакцію, щоб розділити поточні платежі від непоточних.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Чисті інвестиції в оренду - це дисконтована сума платежів з оренди за весь термін оренди, і відображається як непоточний актив - довгострокова дебіторська заборгованість. А поточна частина - платежі, які підлягають оплаті </w:t>
      </w:r>
      <w:r w:rsidRPr="00875D57">
        <w:rPr>
          <w:rFonts w:ascii="Times New Roman" w:hAnsi="Times New Roman"/>
          <w:sz w:val="20"/>
          <w:szCs w:val="20"/>
          <w:lang w:val="en-US"/>
        </w:rPr>
        <w:lastRenderedPageBreak/>
        <w:t>протягом найближчих 12 місяців - це оборотні активи - поточна дебіт. заборгованість. Передплата орендарем - інша поточні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оцінює резерв під знецінення чистих інвестицій в оренду з використанням політики, що застосовується щодо знецінення фінансових активів, які обліковуються за справедливою вартістю, що описана вище, оскільки кредити і чисті інвестиції в оренду мають аналогічні характеристики кредитного ризику.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Операційна оренда - Компанія в якості орендаря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витрат.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Операційна оренда - Компанія в якості орендодавця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Оренда активів, при якій орендодавець фактично зберігає за собою ризики і вигоди, пов'язані з правом власності на об'єкт оренди, класифікується як операційна оренда. Платежі за договором операційної оренди рівномірно списуються на витрати протягом строку оренди і враховуються у складі інших операційних доходів.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для формування очікуваних кредитних збитків за дебіторською заборгованістю по договорам оренди використовує Міжнародний стандарт фінансової звітності 9 "Фінансові інструменти". Товариство, Компанія розрахує резерв очікуваних кредитних збитків за дебіторською заборгованістю за договорами оренди на основі моделі очікуваних збитків, що вимагає визнання знецінення як починаючи з дати первісного визнання, та передбачає застосування індивідуальної та груповій оцінки кредитних збитків.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визнає резерв під збитки для очікуваних кредитних збитків для дебіторської заборгованості за орендою (надалі - "Фінансовий актив"). Оціночний резерв під очікувані кредитні збитки створюється за рахунок прибутків і збитків і зменшує балансову вартість фінансового активу у звіті про фінансовий стан: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o Дт "Витрати" (прибутки і збитки);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o Кт "Резерв під очікувані збитки від знецінення"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звіті про фінансовий стан такий резерв визнається у складі активів, зменшуючи тим самим балансову вартість фінансового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Станом на кожну звітну дату Товариство, Компанія оцінює, чи зазнав кредитний ризик за фінансовим активом значного зростання з моменту первісного визнання. Товариство, Компанія визнає очікувані кредитні збитки за весь строк дії до того, як фінансовий інструмент стане прострочений. Для виявлення значного зростання кредитного ризику та визнання резерву під збитки на груповій основі Товариство, Компанія утворює групи фінансових інструментів на основі спільних характеристик кредитного ризику з метою сприяння проведенню аналізу, покликаного уможливити своєчасне виявлення значного зростання кредитного ризику. Товариство, Компанія не завуальовувати цю інформацію шляхом об'єднання в групи фінансових інструментів із різними характеристиками ризику.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Очікувані кредитні збитки - це зважена за ймовірністю оцінка кредитних збитків (тобто теперішня вартість усіх недоотриманих сум грошових коштів за весь очікуваний строку дії фінансового інструмента. Недоотримані суми грошових коштів - це різниця між грошовими потоками, що належать до сплати суб'єктові господарювання згідно з договором, і грошовими потоками, одержання яких цей Товариство, Компанія очікує. Оскільки очікувані кредитні збитки враховують суму і строковість платежів, кредитний збиток виникає навіть у тому разі, коли Товариство, Компанія очікує одержання платежу в повному обсязі, але пізніше договірного строку його сплати. Кредитним збитком є теперішня вартість різниці між: (а) договірними грошовими потоками, належними до сплати на користь суб'єкта господарювання за договором; і (б) грошовими потоками, які Товариство, Компанія очікує одержати. При оцінюванні резерву під збитки за дебіторською заборгованістю за договором оренди, грошові потоки, що використовуються для визначення очікуваних кредитних збитків, відповідають грошовим потокам, що використовуються для оцінювання розміру дебіторської заборгованості згідно з МСФЗ 16 "Оренда". Товариство, Компанія  застосовує для оцінювання очікуваних кредитних збитків практичні прийоми оцінки співвідношення ринкової вартості об'єкта оренди і вартості фінансового активу, ліквідність об'єкта оренди (в разі необхідності реалізації) можливість оперативного вилучення об'єкта, інші фактори оцінювання,  а також свій власний історичний досвід кредитних збитків за дебіторською заборгованістю по оренді. Критерії, що використовуються для групування активів, є співвідношення ринкової вартості об'єкта оренди і вартості фінансового активу, вид продукції, рейтинг клієнта, наявність застави та страхування, а також можливість оперативного вилучення об'єкта оренди у боржника з метою його реалізації.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цілях оцінювання очікуваних кредитних збитків в оцінку очікуваних недоотриманих сум грошових коштів враховуються грошові потоки очікувані від реалізації вилученого об'єкта оренди, застави та інших засобів покращення кредитної якості, що відповідають умовам договору та не визнаються Товариство, Компанія окремо. Оцінка очікуваних недоотриманих сум грошових коштів в разі вилучення об'єкта оренди та  за забезпеченим заставою фінансовим активом відображає величину та строковість грошових потоків, очікуваних від вилучення об'єкта оренди, звернення стягнення на заставу, за вирахуванням витрат на одержання та реалізацію об'єкта оренди та застави, незалежно від того, чи є таке звернення стягнення ймовірним (тобто оцінка очікуваних грошових потоків ураховує ймовірність вилучення, реалізації, звернення стягнення та пов'язані з ним грошові потоки). Будь-які грошові потоки, очікувані від реалізації об'єкта оренди чи застави після завершення строку дії договору, підлягають урахуванню в цьому аналізі.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Модель оцінки очікуваних кредитних збитків дебіторської заборгованості по договору оренди майна передбачає оцінювання черговості факторів впливу, що є більш важливими для оцінки кредитних ризиків. Товариство, Компанія здійснює моніторинг ринкової вартості об'єктів оренди; формує свій продукт з врахуванням авансового </w:t>
      </w:r>
      <w:r w:rsidRPr="00875D57">
        <w:rPr>
          <w:rFonts w:ascii="Times New Roman" w:hAnsi="Times New Roman"/>
          <w:sz w:val="20"/>
          <w:szCs w:val="20"/>
          <w:lang w:val="en-US"/>
        </w:rPr>
        <w:lastRenderedPageBreak/>
        <w:t>платежу та  видом графіка погашення платежу з умовою зберігання перевищення ринкової вартості майна над залишком платежів або ж з наявністю додаткового забезпечення; здійснює моніторинг стану об'єкта оренди; оперативно реагує на платіжну поведінку клієнта.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Запаси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Облік запасів ведеться відповідно до вимог МСБО 2 "Запаси" та оцінюється, на звітну дату, за меншою із двох величин - собівартістю або чистою вартістю реалізації товарів, що будуть продані окремо. До собівартості запасів включаються всі витрати на придбання, переробку та інші витрати, понесені під час доставки запасів до їх теперішнього місцезнаходження та приведення їх у відповідний стан. Оцінка вибуття запасів здійснюється за методом FIFO - "перше надходження-перший видаток".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інструменти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Фінансові інструменти обліковуються відповідно до МСБО 32 "Фінансові інструменти: подання" і МСФЗ 9 "Фінансові інструменти".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Під час первісного визнання Товариство, Компанія оцінює фінансовий актив або фінансове зобов'язання за його справедливою вартістю плюс або мінус (у випадку фінансового активу або фінансового зобов'язання, що не оцінюються за справедливою вартістю через прибуток або збиток) витрати на операцію, що можуть бути безпосередньо віднесені на придбання або випуск фінансового активу або фінансового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Для оцінки фінансового активу після первісного визнання фінансові активи класифікуються за 3 категоріями: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а) фінансові активи, які обліковуються за амортизованою собівартістю;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 фінансові активи, оцінювані за справедливою вартістю з переоцінкою в іншому сукупному доході;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 фінансові активи, оцінювані за справедливою вартістю з переоцінкою у прибутках та збитках;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Облік фінансових інструментів здійснюється в розрізі договорів та контрагентів.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Фінансовий актив оцінюється за амортизованою собівартістю в разі одночасного дотримання обох зазначених нижче умов: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фінансовий актив утримується в рамках бізнес-моделі, метою якої є утримання фінансових активів для одержання договірних грошових потоків;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Амортизована собівартість - це сума, за якою фінансовий актив чи фінансове зобов'язання оцінюється під час первісного визнання з вирахуванням погашення основної суми, і з додаванням або вирахуванням накопиченої амортизації будь-якої різниці між первісною вартістю та вартістю при погашенні (відкоригованої, у випадку фінансових активів, із урахуванням резерву під збитки), визначена за методом ефективного відсотка.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розраховує процентний дохід шляхом застосування ефективної ставки відсотка до валової балансової вартості фінансового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Придбані або створені кредитно-знецінені фінансові активи обліковуються із застосуванням ефективної ставки відсотка, відкоригованої на кредитний ризик, до собівартості фінансового активу з моменту первісного визнання.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активи, які не є придбаними або створеними кредитно-знеціненими фінансовими активами, але згодом стали кредитно-знеціненими фінансовими активами, обліковуються із застосуванням ефективної  ставки відсотка до амортизованої собівартості фінансового активу в наступних звітних періодах.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разі зменшення кредитного ризику за фінансовим інструментом, внаслідок чого фінансовий актив перестає бути кредитно-знеціненим, в наступних звітних періодах розраховується процентний дохід шляхом застосування ефективної ставки відсотка до валової балансової вартості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Як правило, для поточних фінансових активів, які виникли з кредитних договорів, номінальна процентна ставка є дуже близькою до ефективної процентної ставки, процентні доходи по таким фінансовим активам розраховуються на підставі номінальної процентної ставки.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Фінансовий актив оцінюється за справедливою вартістю через інший сукупний дохід у разі одночасного дотримання обох зазначених нижче умов: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фінансовий актив утримується в рамках бізнес-моделі, мета якої досягається як шляхом одержання договірних грошових потоків, так і шляхом продажу фінансових активів;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договірні умови фінансового активу генерують у певні дати грошові потоки, котрі є суто виплатами основної суми та процентів на непогашену частку основної суми.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Фінансовий актив оцінюється за справедливою вартістю через прибуток або збиток, якщо він не оцінюється за амортизованою собівартістю або за справедливою вартістю через інший сукупний дохід. Однак, Товариство, Компанія може на власний розсуд прийняти під час первісного визнання певних інвестицій в інструменти власного капіталу, які в іншому випадку оцінювалися б за справедливою вартістю через прибуток або збиток, безвідкличне рішення про відображення подальших змін справедливої вартості в іншому сукупному доході.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Перекласифікація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Якщо Товариство, Компанія проводить перекласифікацію фінансових активів, то перекласифікація застосовується перспективно, починаючи з дати перекласифікації. Коли Товариство, Компанія  здійснює перекласифікацію фінансового активу між категорією тих, що оцінюються за амортизованою собівартістю, і категорією тих, що оцінюються за справедливою вартістю через інший сукупний дохід, визнання процентного доходу не змінюється, Товариство, Компанія продовжує використовувати ту саму ефективну ставку відсотка. При цьому оцінка очікуваних кредитних збитків не зміниться, оскільки в обох оцінюваних категоріях застосовується однаковий підхід до зменшення корисності. Водночас, якщо фінансовий актив перекласифіковується з категорії тих, що оцінюються за справедливою вартістю через інший сукупний дохід, в категорію тих, що оцінюються за </w:t>
      </w:r>
      <w:r w:rsidRPr="00875D57">
        <w:rPr>
          <w:rFonts w:ascii="Times New Roman" w:hAnsi="Times New Roman"/>
          <w:sz w:val="20"/>
          <w:szCs w:val="20"/>
          <w:lang w:val="en-US"/>
        </w:rPr>
        <w:lastRenderedPageBreak/>
        <w:t xml:space="preserve">амортизованою собівартістю, то визнається резерв під збитки як коригування валової балансової вартості фінансового активу, починаючи з дати перекласифікації.                            Якщо фінансовий актив перекласифіковується з категорії тих, що оцінюються за амортизованою собівартістю, в категорію тих, що оцінюються за справедливою вартістю через інший сукупний дохід, то визнання резерву під збитки припиняється (а отже, він більше не визнаватиметься як коригування валової балансової вартості), але натомість в іншому сукупному доході визнається накопичена сума зменшення корисності (в такому самому розмірі), яка розкриватиметься, починаючи з дати перекласифікації.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Коли Товариство, Компанія перекласифіковує фінансовий актив із категорії тих, що оцінюються за справедливою вартістю через прибуток або збиток, то ефективна ставка відсотка визначається на підставі справедливої вартості активу станом на дату перекласифікації. Крім того, в цілях застосування розділу 5.5 МСФЗ 9 до фінансового активу, починаючи з дати перекласифікації, дата перекласифікації вважається датою первісного визнання.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Визнання, класифікація та розкриття інформації щодо дебіторської заборгованості здійснюється відповідно до МСФЗ 7 "Фінансові інструменти: розкриття інформації", МСБО 1 "Подання фінансових звітів", МСБО 32 "Фінансові інструменти: подання", МСФЗ 9 "Фінансові інструменти", МСФЗ 15 "Виручка за договорами з клієнтами".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визнає дебіторську заборгованість у балансі, коли стає стороною контрактних зобов'язань і внаслідок цього має юридичне право отримувати грошові або інші цінності.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 поділяється  на поточну та непоточну.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дебіторська заборгованість - сума дебіторської заборгованості, яка буде погашена протягом 12 місяців з дати балансу.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Непоточна дебіторська заборгованість - сума дебіторської заборгованості фізичних та юридичних осіб, яка буде погашена після дванадцяти місяців з дати балансу.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здійснює перекласифікацію  частини непоточної дебіторської заборгованості до складу короткострокової, коли за умовами договору до погашення частини суми заборгованості залишається менше 365 днів.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Під час первісного визнання дебіторська заборгованість оцінюється за ціною операції - згідно з МСФЗ 15.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Після первісного визнання непоточна дебіторська заборгованість відображається в балансі за амортизованою собівартістю, застосовуючи метод ефективного відсотка, тобто за вартістю при первісному визнанні, мінус виплати основної суми, плюс (або мінус) накопичена амортизація будь-якої різниці між цією первісною сумою та сумою погашення із застосуванням методу ефективного відсотка та мінус будь-яке зменшення унаслідок зменшення корисності або неможливості отримання.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При застосуванні методу ефективного відсотка в якості ефективної ставки відсотка використовуються 1/12 облікової ставки НБУ, яка діє на момент визнання фінансового активу (річна ставка в розрахунку на 1 місяць).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Період часу визнається в розрахунку 1 місяць.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Дисконтування непоточної дебіторської заборгованості здійснюється 1 раз в квартал (станом на кінець кварталу).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Кредиторська заборгованість</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Первісне визнання та подальша оцінка кредиторської заборгованості відбувається відповідно до МСФЗ 9 та вищевикладених принципів. Товариство, Компанія у своєму обліку та звітності розрізнює наступні види кредиторської заборгованості: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товари, роботи, послуги;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розрахунками з бюджетом;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розрахунками зі 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розрахунками з оплати праці;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розрахунками за одержаними авансами;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поточні зобов'язання; та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Інші довгострокові зобов'язання.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оцінює поточну кредиторську заборгованість за амортизованою вартістю згідно МСФЗ 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Довгострокова кредиторська заборгованість обліковується згідно із вищевикладеними принципами за амортизованою вартістю із застосуванням методу ефективної ставки відсотка.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До складу кредиторської заборгованості за товари, роботи, послуги Товариство, Компанія відносить кредиторську заборгованість за вже придбані активи та отримані роботи або послуги (витрати за якими вже відображено), ще не оплачені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До складу кредиторської заборгованості за розрахунками з бюджетом Товариство, Компанія відносить кредиторську заборгованість Товариство, Компанія за всіма видами платежів до бюджету, включаючи податки з працівників. Товариство, Компанія веде облік у розрізі окремих податків, платежів та зборів.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складу кредиторської заборгованості за розрахунками зі страхування Товариство, Компанія відносить кредиторську заборгованість за відрахуваннями на загальнообов'язкове державне соціальне 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складу кредиторської заборгованості за розрахунками з оплати праці Товариство, Компанія відносить кредиторську заборгованість з оплати праці, включаючи депоновану заробітну плату.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До складу кредиторської заборгованості за розрахунками за одержаними авансами Товариство, Компанія відносить кредиторську заборгованість, що утворилася  в результаті того, що Товариство, Компанія були отримані грошові кошти від позичальників та невияснені суми платежів.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складу кредиторської заборгованості за розрахунками із внутрішніх розрахунків Товариство відносить кредиторську заборгованість, що виникає у результаті операцій із пов'язаними сторонами, такими як учасники або засновники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До складу інших поточних зобов'язань Товариство відносить всю іншу кредиторську, яка не була віднесена до інших категорій.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До складу довгострокової кредиторської заборгованості Товариство, Компанія відносить всю кредиторську заборгованість, строк погашення якої більше ніж через 12 місяців.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Класифікація фінансових зобов'язань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здійснює класифікацію всіх фінансових зобов'язань за такими категоріями: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1) фінансові зобов'язання, що в подальшому оцінюються за амортизованою собівартістю;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2) фінансові зобов'язання, що оцінюються за справедливою вартістю через прибуток або збиток. Такі зобов'язання, включаючи похідні інструменти, що є зобов'язаннями, надалі оцінюються за справедливою вартістю.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може під час первісного визнання безвідклично призначити фінансове зобов'язання як таке, що оцінюється за справедливою вартістю через прибуток або збиток, якщо це дозволено пунктом 4.3.5 МСФЗ 9 або якщо таке рішення забезпечує надання більш доречної інформації через одну з таких причин: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воно усуває або значно зменшує невідповідність в оцінці або визнанні (яку подекуди називають "неузгодженістю обліку"), що в іншому випадку виникла б при оцінці активів або зобов'язань, або при визнанні прибутків і збитків за ними на різних основах, або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група фінансових зобов'язань або фінансових активів і фінансових зобов'язань перебуває в управлінні, а її показники ефективності оцінюються на основі справедливої вартості згідно з документально оформленою стратегією управління ризиком або стратегією інвестування.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Припинення визнання фінансових зобов'язань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Визнання фінансового зобов'язання припиняється в разі погашення, анулювання або закінчення терміну погашення відповідного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Згортання фінансового активу та фінансового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активи та зобов'язання згортаються і представляються у звіті про фінансовий стан в нетто-величинні тільки тоді, коли Товариство, Компанія має юридично здійсниме право на їх взаємозалік і має намір або зробити розрахунки по ним на нетто-основі, або реалізувати актив і погасити зобов'язання одночасно.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Грошові кошти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Грошові кошти складаються з готівки в касі та коштів на поточних рахунках у банках.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Еквіваленти грошових коштів - це короткострокові, високоліквідні інвестиції, які вільно конвертуються у відомі суми грошових коштів і яким притаманний незначний ризик зміни вартості. Інвестиція визначається зазвичай як еквівалент грошових коштів тільки в разі короткого строку погашення, наприклад, протягом не більше ніж три місяці з дати придбання.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Грошові кошти та їх еквіваленти можуть утримуватися, а операції з ними проводитися в національній валюті та в іноземній валюті.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Іноземна валюта - це валюта інша, ніж функціональна валюта, яка визначена в п.2.3 цих Приміток.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Грошові кошти та їх еквіваленти визнаються за умови відповідності критеріям визнання активами.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Подальша оцінка грошових коштів здійснюється за амортизованою собівартістю, яка дорівнює їх номінальній вартості.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Подальша оцінка еквівалентів грошових коштів, представлених депозитами, здійснюється за амортизованою собівартістю.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Первісна та подальша оцінка грошових коштів та їх еквівалентів в іноземній валюті здійснюється у функціональній валюті за офіційними курсами Національного банку України (НБУ).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У разі обмеження права використання коштів на поточних рахунках в у банках (наприклад, у випадку призначення НБУ в банківській установі тимчасової адміністрації) Товариство, Компанія визнається зменшення корисності вказаних активів, тобто створюється резерв очікуваних кредитних збитків). У випадку прийняття НБУ рішення про ліквідацію банківської установи та відсутності ймовірності повернення грошових коштів, визнання їх як активу припиняється.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Операції в іноземних валютах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Українська гривня є функціональною валютою і валютою представлення фінансової звітності. Операції в інших валютах розглядаються, як операції в іноземній валюті. Операції в іноземній валюті спочатку відображаються у функціональній валюті за курсом НБУ, що діє на дату здійснення операції. Монетарні активи і зобов'язання, виражені в іноземній валюті, перераховуються у функціональну валюту за курсом НБУ, що діє на звітну дату. Доходи і збитки від курсових різниць, що виникають у результаті розрахунків по операціях і перерахунку монетарних активів і зобов'язань у функціональну валюту за офіційними обмінними курсами НБУ на кінець періоду, відображаються у складі прибутку чи збитку за період як прибутки мінус збитки від переоцінки іноземної валюти.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При визначенні курсових різниць на дату здійснення господарської операції, та на дату балансу застосовується валютний курс, що було встановлено наприкінці попереднього робочого дня, та що діє впродовж всього наступного робочого дня.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дату складання фінансової звітності згідно МСБО 21 "Вплив змін валютних курсів" всі монетарні статті, що враховуються в іноземній валюті перераховуються та відображаються у Балансі за курсом НБУ на дату складання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Курсові різниці, що виникають при перерахунку відображаються на нетто основі  підсумовуючим підсумком, у звіті про фінансові результати того періоду, в якому вони виникли.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Зменшення корисності активів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ЗМЕНШЕННЯ КОРИСНОСТІ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відображає активи у фінансовій звітності з урахуванням знецінення, яке обліковується відповідно до МСБО 36 "Зменшення корисності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дату складання фінансової звітності Товариство, Компанія визначає наявність ознак знецінення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зменшення ринкової вартості активу протягом звітного періоду на істотну величину, ніж очікувалося;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старіння або фізичне пошкодження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істотні негативні зміни в ринковому, економічному або правовому середовищі, у якому діє Товариство, Компанія, що сталося протягом звітного періоду або очікувані найближчим часом;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збільшення протягом звітного періоду ринкових ставок відсотка, яке може суттєво зменшити суму очікуваного відшкодування активу;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перевищення балансової вартості чистих активів над їх ринковою вартістю;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суттєві зміни способу використання активу протягом звітного періоду або такі очікувані зміни в наступному періоді, які негативно впливають на діяльність Товариство, Компанія.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Резерви під очікувані кредитні збитки від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визначає кредитний ризик за активом починаючи з дня його визнання в бухгалтерському обліку до дня припинення такого визнання.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Для управління фінансовими активами, Товариство, Компанія використовує бізнес-модель, метою якої є утримання активів для одержання договірних грошових потоків шляхом одержання договірних платежів протягом строку дії інструмента, котрі є суто виплатами основної суми вартості предмету лізингу та винагороди (комісії) Лізингодавця.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Основним ризиком, що впливає на показники ефективності  бізнес-моделі є ризик ушкодження предмету лізингу, несвоєчасна сплата платежу, який відшкодовує вартість предмету лізингу та  несвоєчасна сплата винагороди Лізингодавця.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w:t>
      </w:r>
      <w:r w:rsidRPr="00875D57">
        <w:rPr>
          <w:rFonts w:ascii="Times New Roman" w:hAnsi="Times New Roman"/>
          <w:sz w:val="20"/>
          <w:szCs w:val="20"/>
          <w:lang w:val="en-US"/>
        </w:rPr>
        <w:tab/>
        <w:t>Оцінка кредитних ризиків Товариство, Компанія здійснюється починаючи з дати визнання фінансового активу в обліку до дати припинення такого визнання;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w:t>
      </w:r>
      <w:r w:rsidRPr="00875D57">
        <w:rPr>
          <w:rFonts w:ascii="Times New Roman" w:hAnsi="Times New Roman"/>
          <w:sz w:val="20"/>
          <w:szCs w:val="20"/>
          <w:lang w:val="en-US"/>
        </w:rPr>
        <w:tab/>
        <w:t xml:space="preserve">Договори фінансового лізингу, підписані з громадянам-фізичним особам, за всіма видами продуктів Товариство, Компанія об'єднуються в одну групу, для якої здійснюється розрахунок кредитного ризику можливих втрат на портфельній основі;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w:t>
      </w:r>
      <w:r w:rsidRPr="00875D57">
        <w:rPr>
          <w:rFonts w:ascii="Times New Roman" w:hAnsi="Times New Roman"/>
          <w:sz w:val="20"/>
          <w:szCs w:val="20"/>
          <w:lang w:val="en-US"/>
        </w:rPr>
        <w:tab/>
        <w:t>Для визначення оптимального та справедливого ступеня ризику для подальшого розрахунку резерву на відшкодування можливих втрат Товариство, Компанія від невиконання позичальниками-фізичним особами своїх зобов'язань з оплати платежів по Договорам фінансового лізингу береться за основу поняття своєчасності погашення боргу позичальниками (залежно від кількості календарних днів прострочення погашення боргу останніми);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w:t>
      </w:r>
      <w:r w:rsidRPr="00875D57">
        <w:rPr>
          <w:rFonts w:ascii="Times New Roman" w:hAnsi="Times New Roman"/>
          <w:sz w:val="20"/>
          <w:szCs w:val="20"/>
          <w:lang w:val="en-US"/>
        </w:rPr>
        <w:tab/>
        <w:t>Дотримання 3х-етапної моделі знецінення, яка відображає загальну картину збільшення кредитного ризику Товариство, Компанія за несплаченими зобов'язаннями по Договорам фінансового лізингу, а саме: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Етап1</w:t>
      </w:r>
      <w:r w:rsidRPr="00875D57">
        <w:rPr>
          <w:rFonts w:ascii="Times New Roman" w:hAnsi="Times New Roman"/>
          <w:sz w:val="20"/>
          <w:szCs w:val="20"/>
          <w:lang w:val="en-US"/>
        </w:rPr>
        <w:tab/>
        <w:t>Етап2</w:t>
      </w:r>
      <w:r w:rsidRPr="00875D57">
        <w:rPr>
          <w:rFonts w:ascii="Times New Roman" w:hAnsi="Times New Roman"/>
          <w:sz w:val="20"/>
          <w:szCs w:val="20"/>
          <w:lang w:val="en-US"/>
        </w:rPr>
        <w:tab/>
        <w:t>Етап3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Рівень збільшення кредитного ризику</w:t>
      </w:r>
      <w:r w:rsidRPr="00875D57">
        <w:rPr>
          <w:rFonts w:ascii="Times New Roman" w:hAnsi="Times New Roman"/>
          <w:sz w:val="20"/>
          <w:szCs w:val="20"/>
          <w:lang w:val="en-US"/>
        </w:rPr>
        <w:tab/>
        <w:t>Не значне збільшення кредитного ризику з моменту первинного визнання, а саме: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r w:rsidRPr="00875D57">
        <w:rPr>
          <w:rFonts w:ascii="Times New Roman" w:hAnsi="Times New Roman"/>
          <w:sz w:val="20"/>
          <w:szCs w:val="20"/>
          <w:lang w:val="en-US"/>
        </w:rPr>
        <w:tab/>
        <w:t xml:space="preserve"> Нарахування по Договорам фінансового лізингу при виникненні,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r w:rsidRPr="00875D57">
        <w:rPr>
          <w:rFonts w:ascii="Times New Roman" w:hAnsi="Times New Roman"/>
          <w:sz w:val="20"/>
          <w:szCs w:val="20"/>
          <w:lang w:val="en-US"/>
        </w:rPr>
        <w:tab/>
        <w:t xml:space="preserve"> Нарахування по Договорам фінансового лізингу без прострочення погашення всіх компонентів заборгованості,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r w:rsidRPr="00875D57">
        <w:rPr>
          <w:rFonts w:ascii="Times New Roman" w:hAnsi="Times New Roman"/>
          <w:sz w:val="20"/>
          <w:szCs w:val="20"/>
          <w:lang w:val="en-US"/>
        </w:rPr>
        <w:tab/>
        <w:t xml:space="preserve"> Нарахування по Договорам фінансового лізингу, виплати по яким здійснюються відповідно до договірних умов. </w:t>
      </w:r>
      <w:r w:rsidRPr="00875D57">
        <w:rPr>
          <w:rFonts w:ascii="Times New Roman" w:hAnsi="Times New Roman"/>
          <w:sz w:val="20"/>
          <w:szCs w:val="20"/>
          <w:lang w:val="en-US"/>
        </w:rPr>
        <w:tab/>
        <w:t>Значне збільшення кредитного ризику з моменту первинного визнання, ознаками якого 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Нарахування по Договорам фінансового лізингу без прострочення погашення всіх компонентів заборгованості, або у випадку прострочення погашення деяких компонентів заборгованості до 7 днів,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Нарахування по Договорам фінансового лізингу з періодом погашення до 3 місяців</w:t>
      </w:r>
      <w:r w:rsidRPr="00875D57">
        <w:rPr>
          <w:rFonts w:ascii="Times New Roman" w:hAnsi="Times New Roman"/>
          <w:sz w:val="20"/>
          <w:szCs w:val="20"/>
          <w:lang w:val="en-US"/>
        </w:rPr>
        <w:tab/>
        <w:t>Знецінення кредиту ознаками якого 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прострочення погашення деяких компонентів заборгованості  більше 90 днів,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угон автомобіля,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пошкодження автомобіля, в т.ч. до стану тоатл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довгострокова та/або незаконна еміграція лізингоодержувача,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арешт лізингоодержувача,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шахрайські дії,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інші ознаки, за якими можна зробити висновок щодо можливого не погашення заборгованості лізингоодержувачем в повному обсязі в терміни, встановлені Договором фінансового лізингу.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Фінансові активи Товариство, Компанія класифікуються за категоріями (кошиками/бакетами) за кількістю календарних днів прострочення погашення боргу, що є наявними на дату оцінки активу та розміру простроченої заборгованості за активом згідно переліку, наведеного в Таблиці № 1;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Таблиця 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"кошику"</w:t>
      </w:r>
      <w:r w:rsidRPr="00875D57">
        <w:rPr>
          <w:rFonts w:ascii="Times New Roman" w:hAnsi="Times New Roman"/>
          <w:sz w:val="20"/>
          <w:szCs w:val="20"/>
          <w:lang w:val="en-US"/>
        </w:rPr>
        <w:tab/>
        <w:t>Опис "кошику"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0</w:t>
      </w:r>
      <w:r w:rsidRPr="00875D57">
        <w:rPr>
          <w:rFonts w:ascii="Times New Roman" w:hAnsi="Times New Roman"/>
          <w:sz w:val="20"/>
          <w:szCs w:val="20"/>
          <w:lang w:val="en-US"/>
        </w:rPr>
        <w:tab/>
        <w:t>не прострочена заборгованість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w:t>
      </w:r>
      <w:r w:rsidRPr="00875D57">
        <w:rPr>
          <w:rFonts w:ascii="Times New Roman" w:hAnsi="Times New Roman"/>
          <w:sz w:val="20"/>
          <w:szCs w:val="20"/>
          <w:lang w:val="en-US"/>
        </w:rPr>
        <w:tab/>
        <w:t>прострочення від 1 до 7 календарних днів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30</w:t>
      </w:r>
      <w:r w:rsidRPr="00875D57">
        <w:rPr>
          <w:rFonts w:ascii="Times New Roman" w:hAnsi="Times New Roman"/>
          <w:sz w:val="20"/>
          <w:szCs w:val="20"/>
          <w:lang w:val="en-US"/>
        </w:rPr>
        <w:tab/>
        <w:t>прострочення від 8 до 30 календарних днів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60</w:t>
      </w:r>
      <w:r w:rsidRPr="00875D57">
        <w:rPr>
          <w:rFonts w:ascii="Times New Roman" w:hAnsi="Times New Roman"/>
          <w:sz w:val="20"/>
          <w:szCs w:val="20"/>
          <w:lang w:val="en-US"/>
        </w:rPr>
        <w:tab/>
        <w:t>прострочення від 31 до 60 календарних днів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90</w:t>
      </w:r>
      <w:r w:rsidRPr="00875D57">
        <w:rPr>
          <w:rFonts w:ascii="Times New Roman" w:hAnsi="Times New Roman"/>
          <w:sz w:val="20"/>
          <w:szCs w:val="20"/>
          <w:lang w:val="en-US"/>
        </w:rPr>
        <w:tab/>
        <w:t>прострочення від 61 до 90 календарних днів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 умови прострочення погашення лізингоодержувача -фізичною особою частини заборгованості, до певної категорії (кошику/бакету) враховується вся сума заборгованості такого лізингоодержувача  за основним боргом та нарахованими доходами та не враховується сума штрафних санкцій та/або пені за її (їх) наявності за умовами продукту;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-кількість календарних днів прострочення погашення боргу визначається на кожну звітну дату оцінки активу, починаючи з наступного робочого дня за днем, коли не відбулося погашення боргу в термін, передбачений договором. Якщо кількість календарних днів прострочення за основною сумою боргу та за нарахованими доходами відрізняється, то приймається більша за значенням кількість календарних днів прострочення за відповідним договором;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Сума необхідного резервування (зменшення корисності) розраховується за формулою: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де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CRгруп - розмір кредитного ризику за групою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n - загальна кількість Договорів у групі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m - порядковий номер Договору в групі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EAD - експозиція під ризиком на дату оцінки (дебетове сальдо рахунків обліку тіла обєкту фінансового лізингу та нарахованої винагороди);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PDгруп - коефіцієнт імовірності дефолту лізингоодержувачів/контрагентів, включених до групи фінансових активів,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LGDгруп - коефіцієнт, що відповідає рівню збитків за групою фінансових активів у разі дефолту.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Період роботи Товариство, Компанія з 01.01.21 по 01.01.25 рр. визнається як такий, протягом якого Товариство, Компанія вважається "новоствореним" та буде накопичувати власний досвід та цілісні статистичні дані щодо фактичних значень всіх показників, які приймають участь в розрахунку суми необхідного до формування резерву на підставі даних реального працюючого портфелю;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За зобов'язаннями, що включені до групи Договорів  фінансового лізингу, визначаються наступні значення коефіцієнтів: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 ймовірності дефолту (PD) лізингоодержувача - на підставі визначеного класу згідно з таблицею 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б) втрат у разі дефолту (LGD) - залежно від рівня покриття боргу вартістю предмета застави.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разі якщо позичаьник використовує предмет застави у діяльності з пасажирських перевезень (таксі) - коефіцієнт (LGD) рівня покриття боргу вартістю предмета застави застосовується  на рівні від 80% до 99%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Таблиця 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Ймовірності дефолту (PD)</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Кількість календарних днів прострочення боргу (включно)</w:t>
      </w:r>
      <w:r w:rsidRPr="00875D57">
        <w:rPr>
          <w:rFonts w:ascii="Times New Roman" w:hAnsi="Times New Roman"/>
          <w:sz w:val="20"/>
          <w:szCs w:val="20"/>
          <w:lang w:val="en-US"/>
        </w:rPr>
        <w:tab/>
        <w:t>"Кошик" просрочки</w:t>
      </w:r>
      <w:r w:rsidRPr="00875D57">
        <w:rPr>
          <w:rFonts w:ascii="Times New Roman" w:hAnsi="Times New Roman"/>
          <w:sz w:val="20"/>
          <w:szCs w:val="20"/>
          <w:lang w:val="en-US"/>
        </w:rPr>
        <w:tab/>
        <w:t>Значення коефіцієнта PD для розрахунку резерву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7</w:t>
      </w:r>
      <w:r w:rsidRPr="00875D57">
        <w:rPr>
          <w:rFonts w:ascii="Times New Roman" w:hAnsi="Times New Roman"/>
          <w:sz w:val="20"/>
          <w:szCs w:val="20"/>
          <w:lang w:val="en-US"/>
        </w:rPr>
        <w:tab/>
        <w:t>1</w:t>
      </w:r>
      <w:r w:rsidRPr="00875D57">
        <w:rPr>
          <w:rFonts w:ascii="Times New Roman" w:hAnsi="Times New Roman"/>
          <w:sz w:val="20"/>
          <w:szCs w:val="20"/>
          <w:lang w:val="en-US"/>
        </w:rPr>
        <w:tab/>
        <w:t>12-31%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 8 до 30</w:t>
      </w:r>
      <w:r w:rsidRPr="00875D57">
        <w:rPr>
          <w:rFonts w:ascii="Times New Roman" w:hAnsi="Times New Roman"/>
          <w:sz w:val="20"/>
          <w:szCs w:val="20"/>
          <w:lang w:val="en-US"/>
        </w:rPr>
        <w:tab/>
        <w:t>2</w:t>
      </w:r>
      <w:r w:rsidRPr="00875D57">
        <w:rPr>
          <w:rFonts w:ascii="Times New Roman" w:hAnsi="Times New Roman"/>
          <w:sz w:val="20"/>
          <w:szCs w:val="20"/>
          <w:lang w:val="en-US"/>
        </w:rPr>
        <w:tab/>
        <w:t>32-61%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 31 до 60</w:t>
      </w:r>
      <w:r w:rsidRPr="00875D57">
        <w:rPr>
          <w:rFonts w:ascii="Times New Roman" w:hAnsi="Times New Roman"/>
          <w:sz w:val="20"/>
          <w:szCs w:val="20"/>
          <w:lang w:val="en-US"/>
        </w:rPr>
        <w:tab/>
        <w:t>3</w:t>
      </w:r>
      <w:r w:rsidRPr="00875D57">
        <w:rPr>
          <w:rFonts w:ascii="Times New Roman" w:hAnsi="Times New Roman"/>
          <w:sz w:val="20"/>
          <w:szCs w:val="20"/>
          <w:lang w:val="en-US"/>
        </w:rPr>
        <w:tab/>
        <w:t>62-98%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 61 до 90</w:t>
      </w:r>
      <w:r w:rsidRPr="00875D57">
        <w:rPr>
          <w:rFonts w:ascii="Times New Roman" w:hAnsi="Times New Roman"/>
          <w:sz w:val="20"/>
          <w:szCs w:val="20"/>
          <w:lang w:val="en-US"/>
        </w:rPr>
        <w:tab/>
        <w:t>4</w:t>
      </w:r>
      <w:r w:rsidRPr="00875D57">
        <w:rPr>
          <w:rFonts w:ascii="Times New Roman" w:hAnsi="Times New Roman"/>
          <w:sz w:val="20"/>
          <w:szCs w:val="20"/>
          <w:lang w:val="en-US"/>
        </w:rPr>
        <w:tab/>
        <w:t>99-100%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більше 90</w:t>
      </w:r>
      <w:r w:rsidRPr="00875D57">
        <w:rPr>
          <w:rFonts w:ascii="Times New Roman" w:hAnsi="Times New Roman"/>
          <w:sz w:val="20"/>
          <w:szCs w:val="20"/>
          <w:lang w:val="en-US"/>
        </w:rPr>
        <w:tab/>
        <w:t>5</w:t>
      </w:r>
      <w:r w:rsidRPr="00875D57">
        <w:rPr>
          <w:rFonts w:ascii="Times New Roman" w:hAnsi="Times New Roman"/>
          <w:sz w:val="20"/>
          <w:szCs w:val="20"/>
          <w:lang w:val="en-US"/>
        </w:rPr>
        <w:tab/>
        <w:t>100%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Таблиця 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Втрат у разі дефолту (LGD) - залежно від рівня покриття боргу вартістю предмета застави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Діапазони значень коефіцієнта LGD із рівнем покриття боргу заставою від 20% до 39%</w:t>
      </w:r>
      <w:r w:rsidRPr="00875D57">
        <w:rPr>
          <w:rFonts w:ascii="Times New Roman" w:hAnsi="Times New Roman"/>
          <w:sz w:val="20"/>
          <w:szCs w:val="20"/>
          <w:lang w:val="en-US"/>
        </w:rPr>
        <w:tab/>
        <w:t>Діапазони значень коефіцієнта LGD із рівнем покриття боргу заставою від 40% до 59%</w:t>
      </w:r>
      <w:r w:rsidRPr="00875D57">
        <w:rPr>
          <w:rFonts w:ascii="Times New Roman" w:hAnsi="Times New Roman"/>
          <w:sz w:val="20"/>
          <w:szCs w:val="20"/>
          <w:lang w:val="en-US"/>
        </w:rPr>
        <w:tab/>
        <w:t>Діапазони значень коефіцієнта LGD із рівнем покриття боргу заставою від 60% ?79%</w:t>
      </w:r>
      <w:r w:rsidRPr="00875D57">
        <w:rPr>
          <w:rFonts w:ascii="Times New Roman" w:hAnsi="Times New Roman"/>
          <w:sz w:val="20"/>
          <w:szCs w:val="20"/>
          <w:lang w:val="en-US"/>
        </w:rPr>
        <w:tab/>
        <w:t>Діапазони значень коефіцієнта LGD із рівнем покриття боргу заставою від 80% до 99%</w:t>
      </w:r>
      <w:r w:rsidRPr="00875D57">
        <w:rPr>
          <w:rFonts w:ascii="Times New Roman" w:hAnsi="Times New Roman"/>
          <w:sz w:val="20"/>
          <w:szCs w:val="20"/>
          <w:lang w:val="en-US"/>
        </w:rPr>
        <w:tab/>
        <w:t>Діапазони значень коефіцієнта LGD із рівнем покриття боргу заставою ?100%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80%</w:t>
      </w:r>
      <w:r w:rsidRPr="00875D57">
        <w:rPr>
          <w:rFonts w:ascii="Times New Roman" w:hAnsi="Times New Roman"/>
          <w:sz w:val="20"/>
          <w:szCs w:val="20"/>
          <w:lang w:val="en-US"/>
        </w:rPr>
        <w:tab/>
        <w:t>67%</w:t>
      </w:r>
      <w:r w:rsidRPr="00875D57">
        <w:rPr>
          <w:rFonts w:ascii="Times New Roman" w:hAnsi="Times New Roman"/>
          <w:sz w:val="20"/>
          <w:szCs w:val="20"/>
          <w:lang w:val="en-US"/>
        </w:rPr>
        <w:tab/>
        <w:t>50%</w:t>
      </w:r>
      <w:r w:rsidRPr="00875D57">
        <w:rPr>
          <w:rFonts w:ascii="Times New Roman" w:hAnsi="Times New Roman"/>
          <w:sz w:val="20"/>
          <w:szCs w:val="20"/>
          <w:lang w:val="en-US"/>
        </w:rPr>
        <w:tab/>
        <w:t>39%</w:t>
      </w:r>
      <w:r w:rsidRPr="00875D57">
        <w:rPr>
          <w:rFonts w:ascii="Times New Roman" w:hAnsi="Times New Roman"/>
          <w:sz w:val="20"/>
          <w:szCs w:val="20"/>
          <w:lang w:val="en-US"/>
        </w:rPr>
        <w:tab/>
        <w:t>25%</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У разі наявності у одного контрагента декількох договорів лізингу рівень його ризику визначається за найвищим рівнем, а в окремих випадках - з урахуванням індивідуальних особливостей.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При розрахунку резерву очікуваних кредитних збитків за договорами факторингу та кредитування використовується модель розрахунку збитку з використанням коефіцієнту співвідношення грошового потоку до загального боргу.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Резерв очікуваних кредитних збитків згідно МСФЗ нараховується вже в перший день виникнення активу незалежно від наявності оплати контрагентом. Для інших фінансових активів (крім операцій з лізингу), застосовуємо іншу методику розрахунку резервів, а саме: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для розрахунку суми резерву визначає значення коефіцієнтів PD на рівні, які наведено в Таблиці № 4, а саме: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Таблиця 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Група заборгованості </w:t>
      </w:r>
      <w:r w:rsidRPr="00875D57">
        <w:rPr>
          <w:rFonts w:ascii="Times New Roman" w:hAnsi="Times New Roman"/>
          <w:sz w:val="20"/>
          <w:szCs w:val="20"/>
          <w:lang w:val="en-US"/>
        </w:rPr>
        <w:tab/>
        <w:t>Рівень резерву (ступінь ризику),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Стандартний</w:t>
      </w:r>
      <w:r w:rsidRPr="00875D57">
        <w:rPr>
          <w:rFonts w:ascii="Times New Roman" w:hAnsi="Times New Roman"/>
          <w:sz w:val="20"/>
          <w:szCs w:val="20"/>
          <w:lang w:val="en-US"/>
        </w:rPr>
        <w:tab/>
        <w:t>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Під контролем</w:t>
      </w:r>
      <w:r w:rsidRPr="00875D57">
        <w:rPr>
          <w:rFonts w:ascii="Times New Roman" w:hAnsi="Times New Roman"/>
          <w:sz w:val="20"/>
          <w:szCs w:val="20"/>
          <w:lang w:val="en-US"/>
        </w:rPr>
        <w:tab/>
        <w:t>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Субстрактний </w:t>
      </w:r>
      <w:r w:rsidRPr="00875D57">
        <w:rPr>
          <w:rFonts w:ascii="Times New Roman" w:hAnsi="Times New Roman"/>
          <w:sz w:val="20"/>
          <w:szCs w:val="20"/>
          <w:lang w:val="en-US"/>
        </w:rPr>
        <w:tab/>
        <w:t>20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Сумнівний</w:t>
      </w:r>
      <w:r w:rsidRPr="00875D57">
        <w:rPr>
          <w:rFonts w:ascii="Times New Roman" w:hAnsi="Times New Roman"/>
          <w:sz w:val="20"/>
          <w:szCs w:val="20"/>
          <w:lang w:val="en-US"/>
        </w:rPr>
        <w:tab/>
        <w:t>50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Безнадійний</w:t>
      </w:r>
      <w:r w:rsidRPr="00875D57">
        <w:rPr>
          <w:rFonts w:ascii="Times New Roman" w:hAnsi="Times New Roman"/>
          <w:sz w:val="20"/>
          <w:szCs w:val="20"/>
          <w:lang w:val="en-US"/>
        </w:rPr>
        <w:tab/>
        <w:t>100</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Облікові політики щодо непоточних активів, утримуваних для продажу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класифікує непоточний актив як утримуваний для продажу, якщо його балансова вартість буде в основному відшкодовуватися шляхом операції продажу, а не поточного використання. Непоточні активи, утримувані для продажу, оцінюються і відображаються в бухгалтерському обліку за найменшою з двох величин: балансовою або справедливою вартістю з вирахуванням витрат на операції, пов'язані з продажем. Амортизація на такі активи не нараховується. Збиток від зменшення корисності при первісному чи подальшому списанні активу до справедливої вартості за вирахуванням витрат на продаж визнається у звіті про фінансові результати.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Забезпечення (резерви). Поточні забезпечення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не розкриває інформацію про резерви, коли таке розкриття може серйозно послабити позицію Товариство, Компанія в суперечці з іншими сторонами (незакінчені судові розгляди, спори з податковими органами, позови, що підлягають врегулюванню через арбітражний суд).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Забезпечення (резерв) визнається, якщо в результаті події Товариство, Компанія має юридичні або конструктивні зобов'язання, які можуть бути оцінені достовірно, і існує ймовірність того, що буде необхідний відтік економічних вигод для врегулювання зобов'язань.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створюються наступні види забезпечень станом на кінець звітного періоду - резерв відпусток, що визначається як сума розрахунку резерву (добуток середньоденної заробітної плати за останні 12 календарних місяців кожного співробітника, який має право на основну щорічну відпустку, на кількість днів невикористаної відпустки на дату розрахунку резерву) та розрахунку нарахувань соціальних внесків підприємства на резерв відпусток в розрізі співробітників. Резерв відпусток відображається у фінансовій звітності Компанії, як поточні забезпечення.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Визнання та оцінка доходів, витрат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Доходи  Товариство, Компанія визнаються згідно з положеннями МСФЗ 15 "Виручка за договорами з клієнтами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Доходи і витрати, що виникають у результаті операцій, визначаються договором між її учасниками або іншими документами, оформленими згідно з вимога чинного законодавства України.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визнає доходи та витрати з урахуванням змін до Концептуальної основи фінансової звітності - 2018 року, які діють з 2020 року.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Доходи і витрати визначаються за кожним видом діяльності Товариство, Компанія. Критерії визнання доходу і витрат застосовуються окремо до кожної операції. У результаті операційної діяльності в Товариство, Компанія виникають такі доходи і витрати: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чистий дохід від реалізації продукції (товарів, робіт, послуг)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інші операційні доходи/витрати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адміністративні витрати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витрати на збут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інші фінансові доходи/витрати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інші доходи/витрати, включаючи витрати на формування спеціальних резервів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витрати/дохід з податку на прибуток.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Згідно з Концептуальною основою фінансової звітності - дохід визнається під час збільшення активу або зменшення зобов'язання, що зумовлює зростання власного капіталу (за винятком зростання капіталу за рахунок внесків учасників підприємства), за умови, що оцінка доходу може бути достовірно визначена.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 це зменшення активів або збільшення зобов'язань, результатом чого є зменшення чистих активів, за винятком зменшення, пов'язаного з виплатами учасникам. Визнання витрат відбувається одночасно з визнанням збільшення зобов'язань або зменшення активів. Правила оцінки витрат МСФЗ не встановлені і в цьому немає необхідності, оскільки їх величина є похідною від вартості активів і зобов'язань, правила оцінки яких встановлені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Витрати, щодо яких на момент складання фінансової звітності не отримано первинних документів від контрагентів та  немає впевненості у фактичному здійсненні господарської операції, визнаються витратами того звітного періоду, в якому первинні документи отримано, якщо сума понесених витрат суттєво не впливає на фінансову звітність попередніх звітних періодів.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на персонал та відповідні відрахування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на заробітну плату та нарахування на неї, лікарняні та премії, нараховуються у тому році, в  якому відповідні послуги надавалися працівниками Товариство, Компанія.  З метою рівномірного розподілу витрат протягом звітного року Товариство, Компанія створюється забезпечення (резерв) для забезпечення оплати відпусток. Сума забезпечення нараховується на кожну звітну дату виходячи із середньоденної заробітної плати працівника та кількості невикористаних днів відпустки з урахуванням податків. Товариство, Компанія не має юридичного чи умовного зобов'язання сплачувати пенсійні чи інші платежі, окрім платежів по державній системі соціального 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за позиками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Витрати за позиками, які не є частиною фінансового інструменту та не капіталізуються як частина собівартості активів, визнаються як витрати періоду.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Податок на прибуток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з податку на прибуток включають в себе податок на прибуток поточного періоду та відкладений податок. Поточний та відкладений податок на прибуток відображається в складі прибутків та збитків за період за виключенням тієї їх частини, яка відноситься до операцій, що визнаються безпосередньо  у складі власного капіталу чи в складі іншого сукупного прибутку.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Поточний податок - сума податків на прибуток, що підлягають сплаті (відшкодуванню) щодо оподаткованого прибутку (податкового збитку) за період. Поточні податкові зобов'язання (активи) за поточний і попередній періоди оцінюються за сумою, яку передбачається сплатити податковим органам (відшкодувати у податкових органів) із застосуванням ставок оподаткування та податкового законодавства, що діють або превалюють до кінця звітного періоду. Поточний податок на прибуток обчислюється відповідно до діючого законодавства України на звітну дату. Встановлена ставка оподаткування згідно Податкового кодексу України - 18%. Відстрочені активи та зобов'язання були відстутніми в 2024 році.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Власний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Зареєстрований статутний капітал.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Розмір статутного капіталу зафіксовано у Статуті Товариство, Компанія. Розмір статутного капіталу може бути змінено (збільшено чи зменшено) за рішенням Загальних зборів акціонерів у порядку, встановленому чинним законодавством України.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Нерозподілений прибуток (непокритий збиток).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Прибуток, що залишається у розпорядженні Товариство, Компанія після сплати податків і обов'язкових платежів, розподіляється на формування резервних та інших фондів, збільшення капіталу і виплату дивідендів на підставі рішення Загальних зборів учасників.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5.2.Застосування нових та змін МСФЗ/МСБО</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МСФЗ, які набули чинності в звітному період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МСФЗ, що набирають чинності з 01 січня 2023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1 "Подання фінансової звітності" та  до Положення з практики    МСФЗ 2 "Здійснення суджень про суттєвість";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8 "Облікові політики, зміни у бухгалтерських оцінках та помилки" - "Визначення облікових оцінок";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12 "Податки на прибуток", документ "Відстрочений податок, пов'язаний з активами та зобов'язаннями, що виникає в наслідок однієї операції";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МСФЗ (IFRS)17 "Страхові контракти" - "Перше застосування МСФЗ 17 та МСФЗ 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12 "Податки на прибуток" - "Міжнародна податкова реформа - типові правила Другого компонента" (документ опубліковано на сайті Ради МСБО 23.05.2023).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(IAS) 1 "Подання фінансової звітності" та до Положення з практики МСФЗ 2 "Здійснення суджень про суттєвість"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Зміни до МСБО 1 "Подання фінансової звітності" спрямовані на допомогу суб'єктам господарювання у забезпеченні розкриття облікових політик, які є більш корисними для користувачів, зокрема:  замінено вимогу щодо розкриття значних облікових політик на вимогу розкривати суттєву інформацію про облікову політику; надано роз'яснення, яким чином суб'єкти господарювання мають застосовувати концепцію "суттєвості" у процесі прийняття рішень щодо розкриття облікових політик. Інформація є суттєвою, якщо від її пропуску, викривлення або приховування можна обґрунтовано очікувати вплив на рішення, які приймають основні користувачі фінансової звітності загального призначення, складеної на основі тієї фінансової звітності, яка надає фінансову інформацію про конкретну звітність суб'єкта господарювання.  Інформація про облікову політику, яка пов'язана з несуттєвими операціями, іншими подіями та умовами, є несуттєвою та не потребує розкриття. Суб'єкт господарювання не повинен розкривати в обліковій політиці стандартизовану інформацію або дублювати вимоги МСФЗ. Визначення </w:t>
      </w:r>
      <w:r w:rsidRPr="00875D57">
        <w:rPr>
          <w:rFonts w:ascii="Times New Roman" w:hAnsi="Times New Roman"/>
          <w:sz w:val="20"/>
          <w:szCs w:val="20"/>
          <w:lang w:val="en-US"/>
        </w:rPr>
        <w:lastRenderedPageBreak/>
        <w:t>того, чи є інформація про облікову політику суттєвою чи ні, потребує використання суджень і може призвести до додаткових зусиль,  зокрема в рік прийняття змін. Декілька аспектів, коли інформація про облікову політику може бути суттєвою, зокрема: суб'єкт господарювання змінив свою облікову політику протягом звітного періоду та ця зміна призвела до суттєвої зміни інформації у фінансовій звітності; суб'єкт господарювання обрав облікову політику з одного або кількох варіантів, дозволених МСФЗ; облікова політика була розроблена згідно з МСБО 8 за відсутності відповідного МСФЗ; облікова політика пов'язана зі сферою, щодо якої суб'єкт господарювання зобов'язаний застосовувати судження або припущення під час визначення облікової політики, і суб'єкт господарювання розкриває інформацію про ці судження або припущення; бухгалтерський облік операцій є складним, і інакше користувачі фінансової звітності суб'єкта господарювання не зрозуміли б  ці суттєві операції.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(IAS) 8 "Облікові політики, зміни у бухгалтерських оцінках та помилки" - "Визначення облікових оцінок"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8 "Облікові політики, зміни в облікових оцінках та помилки" уточнюють різницю між змінами облікових політик та облікових оцінок, а також визначають облікові оцінки як грошові суми у фінансових звітах, щодо яких є невизначеність в оцінці. Різниця між обліковою політикою та обліковими оцінками є важливою, оскільки зміни в обліковій політиці зазвичай передбачають ретроспективне перерахування, а зміни в облікових оцінках застосовуються перспективно. Зміни до МСБО 8 також уточнюють взаємозв'язок між обліковою політикою та обліковими оцінками, зазначаючи про те, що суб'єкт господарювання визначає облікову оцінку для досягнення встановленої мети. Суб'єкт господарювання застосовує методи оцінювання та вхідні дані для розроблення облікової оцінки. Методи оцінювання включають методи наближеного оцінювання (наприклад, методи, які застосовуються для оцінки резерву під збитки для очікуваних кредитних збитків під час застосування МСФЗ 9) та методи вартісного оцінювання (наприклад, методи, які застосовуються для оцінки справедливої вартості активу або зобов'язання під час застосування МСФЗ 13). Зміни в облікових оцінках внаслідок появи нової інформації або розвитку подій не є виправленням помилки. Крім того, результати зміни вхідних даних або методики оцінки є змінами в облікових оцінках, якщо вони не випливають із коригувань помилок минулих періодів. Зміни в облікових оцінках можуть впливати на прибутки/збитки поточного періоду або поточного та майбутнього періодів.  Суб'єкт господарювання розкриває інформацію про характер та суму зміни в обліковій оцінці, яка впливає на поточний період або, за очікуванням, впливатиме на майбутні періоди, за винятком, коли такий вплив неможливо оцінити.  Якщо інформацію про розмір впливу на майбутні періоди не розкрито у зв'язку з неможливістю його оцінки, суб'єкт господарювання розкриває інформацію про цей факт.</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(IAS) 12 "Податки на прибуток", документ "Відстрочений податок, пов'язаний з активами та зобов'язаннями, що виникає в наслідок однієї операції";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12 "Податки на прибуток" уточнюють, як суб'єкти господарювання повинні враховувати відстрочені податки на такі операції, як оренда та зобов'язання, пов'язанні з виведенням з експлуатації. Зміни звужують сферу застосування щодо звільнення від первісного визнання, коли воно не застосовується до операцій, що призводять до рівних оподатковуваних та вирахуваних тимчасових різниць. Отже, усім суб'єктам господарювання буде необхідно визнавати відстрочений податковий актив та відстрочене податкове зобов'язання щодо тимчасових різниць, що виникають під час первісного визнання оренди та зобов'язання, пов'язанні з виведенням з експлуатації. На початку найбільш раннього порівняльного періоду суб'єкт господарювання повинен: а) визнати відстрочений податковий актив у тій мірі, в якій є ймовірним, що буде отримано оподатковуваний прибуток, до якого можна застосовувати тимчасову різницю, що підлягає вирахуванню, та відстрочене податкове зобов'язання щодо всіх тимчасових різниць, що підлягають оподаткуванню та вирахуванню, пов'язаних з: і) активами з правом використання та орендними зобов'язаннями, та ii) витратами на виведення з експлуатації, відновлення та подібними зобов'язаннями та відповідними сумами, визнаними як частина вартості пов'язаного активу; та б) визнати кумулятивний вплив першого застосування змін як коригування вхідного сальдо нерозподіленого прибутку (або іншого компоненту капіталу) на цю дату. Для зобов'язання з оренди та зобов'язання з вибуття відповідні відстрочені податкові активи та зобов'язання мають бути визнані з початку раннього з представлених порівняльних періодів, при цьому будь-який сукупний ефект має бути визнаний як коригування нерозподіленого прибутку або інших компонентів капіталу на цю дату. Операція може призвести до первісного визнання активів та зобов'язань та на момент здійснення операції не впливає на обліковий або оподатковуваний прибуток. Наприклад, на дату початку оренди орендар зазвичай визнає орендне зобов'язання та відповідну суму, як частину вартості активу з права користування. Залежно від застосованих норм податкового законодавства можуть виникати в такій операції рівні оподатковувані та тимчасові різниці, які підлягають вирахуванню під час первісного визнання активу чи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МСФЗ (IFRS)17 "Страхові контракти" - "Перше застосування МСФЗ 17 та МСФЗ 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МСФЗ 17 прийнятий на заміну МСФЗ 4 та спрямований на підвищення прозорості в обліку страхових контрактів. МСФЗ 17 встановлює принципи визнання, оцінки, подання та розкриття інформації за страховими контрактами. Ця інформація використовується користувачами фінансової звітності для оцінки впливу таких контрактів на фінансове становище, фінансові результати та грошові потоки суб'єкта господарювання. Перехід на МСФЗ 17 здійснюється ретроспективно.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Суб'єкт господарювання не застосовує МСФЗ 17 до договорів фінансової гарантії, крім тих випадків, коли емітент раніше прямо заявляв про те, що вважає такі договори страховими контрактами й використовував облік, що застосовується до страхових контрактів; страхових контрактів, за якими суб'єкт господарювання є держателем </w:t>
      </w:r>
      <w:r w:rsidRPr="00875D57">
        <w:rPr>
          <w:rFonts w:ascii="Times New Roman" w:hAnsi="Times New Roman"/>
          <w:sz w:val="20"/>
          <w:szCs w:val="20"/>
          <w:lang w:val="en-US"/>
        </w:rPr>
        <w:lastRenderedPageBreak/>
        <w:t>страхового полісу, якщо такі контракти не є при цьому контрактами перестрахування, що утримуються (пункт 7 МСФЗ 17).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До основних нововведень МСФЗ 17 належить: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класифікація страхових та перестрахових контрактів;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обов'язкове відокремлення компонентів, які не є страховими;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визначення прибутковості страхових контрактів під час первісного визнання (наприклад, чи є страхові контракти обтяжливими);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вимоги до агрегування контрактів: за рівнем ризику, прибутковістю, датою випуску та іншими вимогами стандарту;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розширення вимог до розкриття інформації у фінансовій звітності у структурі балансу та звіті про фінансові результати;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актуарні розрахунки через різні методи оцінки зобов'язань.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Суб'єкт господарювання має застосовувати МСФЗ 17 до: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випущених ним договорів страхування, включаючи договори перестрахування;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утримуваних ним договорів перестрахування;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випущених ним інвестиційних контрактів з умовами дискреційної участі, за умови, що суб'єкт господарювання також випускає договори страхування.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(IAS) 12 "Податки на прибуток" - "Міжнародна податкова реформа - типові правила Другого компонента" (документ опубліковано на сайті Ради МСБО 23.05.2023).</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(IAS) 12 "Податки на прибуток" - "Міжнародна податкова реформа - типові правила Другого компонента".  Зміни визначають особливості обліку  та розкриття інформації щодо податків на прибуток, що виникають внаслідок впровадження податкового законодавства, яке розроблене на основі типових правил Другого компонента, опублікованих Організацією економічного співробітництва та розвитку (далі - ОЕСР).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МСФЗ, які прийняті, але ще не набули чинності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 01 січня 2024 року та пізніше набирають чинності такі зміни до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1 "Подання фінансової звітності" - "Класифікація зобов'язань як поточні та непоточні"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1 "Подання фінансової звітності" - "Непоточні зобов'язання із спеціальними умовами";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МСФЗ (IFRS) 16 "Оренда" - "Орендне зобов'язання в операціях продажу та зворотної оренди";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7 та МСФЗ (IFRS) 7 - "Угоди про фінансування постачальника";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Зміни до МСБО (IAS)  21 "Вплив змін валютних курсів" - "Відсутність конвертованості".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1 "Подання фінансової звітності" - "Класифікація зобов'язань як поточні та непоточні".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Уточнено, що зобов'язання класифікується як непоточне, якщо суб'єкт господарювання має право відстрочити врегулювання зобов'язання щонайменше на 12 місяців - це право має існувати на дату закінчення звітного періоду. Право відстрочити врегулювання зобов'язання щонайменше на 12 місяців після закінчення звітного періоду має бути реальним і має існувати на дату закінчення звітного періоду, незалежно від того, чи суб'єкт господарювання планує скористатися цим правом.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Якщо право відстрочити врегулювання зобов'язання залежить від виконання суб'єктом господарювання певних умов, то таке право існує на дату закінчення звітного періоду тільки в тому випадку, якщо суб'єкт господарювання  виконав ці умови на дату закінчення звітного періоду. Необхідно виконати ці умови на дату закінчення звітного періоду, навіть якщо перевірка їх виконання здійснюється кредитором пізніше. На класифікацію зобов'язання не впливає ймовірність того, що суб'єкт господарювання використає своє право відстрочити врегулювання зобов'язання щонайменше на 12 місяців після закінчення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1 "Подання фінансової звітності" - "Непоточні зобов'язання із спеціальними умовами" передбачають, що, суб?єкт господарювання може класифікувати зобов?язання, що виникають за кредитною угодою, як непоточні, якщо право суб?єкта господарювання відстрочити погашення цих зобов?язань обумовлене виконанням суб?єктом господарювання спеціальних умов протягом дванадцяти місяців після завершення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Зокрема, в примітках необхідно буде розкрити інформацію, що дає змогу користувачам фінансової звітності зрозуміти ризик того, що зобов?язання можуть стати такими, що підлягають поверненню протягом 12 місяців після завершення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 інформацію про спеціальні умови (включно з характером спеціальних умов і тим, коли від суб?єкта господарювання вимагається їх виконувати) та балансову вартість пов'язаних зобов?язань;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б) факти та обставини, якщо такі існують, які вказують на те, що суб?єктові господарювання може бути складно виконувати спеціальні умови: наприклад, про те, що суб?єкт господарювання протягом звітного періоду чи після його завершення вчинив дії, спрямовані на уникнення чи обмеження наслідків потенційного порушення.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Зміни до  МСФЗ 16 "Оренда" пояснюють, як суб'єкт господарювання відображає в обліку продаж і зворотну оренду після дати операції.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Операція продажу з подальшою орендою - це операція, за якою суб'єкт господарювання продає актив і орендує той самий актив у нового власника на певний період часу.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Внесені зміни доповнюють вимоги МСФЗ 16 щодо продажу та зворотної оренди, тим самим підтримуючи послідовне застосування цього стандарту. А саме, змінами уточнено, що орендар-продавець не визнає ніякої суми прибутку або збитку, що стосується права користування, збереженого за орендарем-продавцем. Разом з тим, це не позбавляє орендаря-продавця права визнавати у прибутку або збитку будь-який прибуток або збиток, пов'язаний з частковим або повним припиненням такої оренди.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Змінами до МСФЗ 7 "Звіт про рух грошових коштів" та МСФЗ 7 "Фінансові інструменти: розкриття інформації" - "Угоди фінансування постачальників" передбачено вимоги до розкриття інформації про свої угоди фінансування постачальників, яка надає користувачам фінансової звітності можливість оцінювати вплив таких угод на зобов'язання та рух грошових коштів суб'єкта господарювання та його експозицію щодо ризику ліквідності.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Ключові зміни  до МСФЗ  7 та МСБО  7 включають вимоги до розкриття: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умов угод про фінансування;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балансової вартості фінансових зобов'язань, що є частиною угод про фінансування постачальників та статті, в яких відображені ці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балансової вартості фінансових зобов'язань, за якими постачальники вже отримали оплату від постачальників фінансових послуг;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діапазону строків оплати як за фінансовими зобов'язаннями, які є частиною цих угод.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Згідно з змінами, суб'єкти господарювання мають розкривати тип та вплив негрошових змін балансової вартості фінансових зобов'язань, які є частиною угоди про фінансування постачальників.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набувають чинності для річних звітних періодів, що починаються 1 січня 2024 року або після цієї дати, протягом першого року порівняльна інформація не потрібна.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до МСБО 21 "Вплив змін валютних курсів" - "Відсутність конвертованості" є обов'язковими до застосування з 01.01.2025. Раннє застосування дозволено.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Зміни стосуються визначення конвертованої (обмінюваної) валюти. Стандарт доповнено визначенням, що таке конвертована валюта, настановами, як визначити чи є валюта конвертованою, як визначити спот-курс, якщо валюта не є конвертованою, та як розкрити це у фінансовій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Необхідно визначити, чи обмінюється валюта на інші. Якщо валюта не є конвертованою/обмінюваною, суб'єкт господарювання оцінює спот-курс та розкриває інформацію, яка дає змогу користувачам фінансової звітності зрозуміти, як валюта, що не обмінюється на іншу валюту, впливає або очікується, що впливатиме, на фінансові результати діяльності, фінансовий стан та грошові потоки суб'єкта господарювання.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Для досягнення цієї мети суб'єкт господарювання розкриває інформацію про: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 характер і фінансові наслідки того, що валюта не є конвертованою;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б) використаний(і) спот-курс(и);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в) процес оцінки;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г) ризики, на які наражається суб'єкт господарювання через те, що валюта не є конвертованою.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Стандарти зі сталого розвитку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червні 2023 року Радою зі сталого розвитку були випущені стандарти фінансової звітності зі сталого розвитку: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МСФЗ  S1 "Загальні вимоги до розкриття фінансової інформації, пов'язаної зі сталий розвитком" (IFRS S1 General Requirements for Disclosure of Sustainability-related Financial Information) (далі - МСФЗ S1);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МСФЗ S2 "Розкриття інформації, пов'язаної з кліматом" (IFRS S2 Climate-related Disclosures ) (далі - МСФЗ S2)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Стандарти МСФЗ S1 та МСФЗ S2 набувають чинності для річних звітних періодів, що починаються з 1 січня 2024 року. Ці стандарти встановлюють вимоги до розкриття інформації про ризики та можливості, пов'язані зі сталим розвитком та зміною клімату, які можуть вплинути на грошові потоки суб'єкта господарювання, доступ до фінансування або вартість капіталу в короткостроковій, середньостроковій або довгостроковій перспективі.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У січні 2023 року вступила у силу ДИРЕКТИВА (ЄС) 2022/2464 ЄВРОПЕЙСЬКОГО ПАРЛАМЕНТУ І РАДИ від 14 грудня 2022 року про внесення змін до Регламенту (ЄС) № 537/2014, Директиви 2004/109/ЄС, Директиви 2006/43/ЄС і Директиви 2013/34/ЄС щодо корпоративної звітності зі сталого розвитку (Corporate Sustainability Reporting Directive, або CSRD) (далі - Директива 2022/2464/ЄС). Її вимоги поширюються на більшу кількість </w:t>
      </w:r>
      <w:r w:rsidRPr="00875D57">
        <w:rPr>
          <w:rFonts w:ascii="Times New Roman" w:hAnsi="Times New Roman"/>
          <w:sz w:val="20"/>
          <w:szCs w:val="20"/>
          <w:lang w:val="en-US"/>
        </w:rPr>
        <w:lastRenderedPageBreak/>
        <w:t>суб'єктів господарювання резидентів та нерезидентів ЄС, вона замінить директиву 2014/95/EU вже з січня 2025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Директива 2022/2464/ЄС потребує імплементації в законодавство України, її основними вимогами 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впровадження Звіту зі сталого розвитку (стаття 19а);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розроблення Комісією стандартів звітності зі сталого розвитку (стаття 29b);</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єдиний електронний формат звітності (стаття 29d);</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окремі вимоги до аудиту звіту зі сталого розвитку ( в т. ч. зміни до Директиви 2006/43/ЄС).</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Директива 2013/34/ЄС імплементована в законодавство України шляхом внесення змін до  Закону України "Про бухгалтерський облік та фінансову звітність в Україні",  а Директива 2006/43/ЄС - шляхом внесення змін до Закону України "Про аудит фінансової звітності та аудиторську діяльність" відповідно.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Розкриття інформації у Звіті сталого розвитку відносяться в цілому до діяльності суб'єкта господарювання, зокрема така інформація: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опірність бізнес-моделі та стратегії підприємства до ризиків, пов?язаних із питаннями сталого розвитку;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опис ролі, яку адміністративні органи, органи управління та нагляду відіграють щодо питань сталого розвитку, їхніх експертних знань і навичок, що потрібні для виконання цієї ролі, або наявність у таких органів доступу до зазначених експертних знань і навичок;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інформація про існування схем заохочення, пов?язаних із питаннями сталого розвитку, яке пропонується членам адміністративних органів, органів управління та нагляду;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опис основних ризиків для підприємства, зумовлених питаннями сталого розвитку та інше.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Також змінені вимоги до аудиту, зокрема в частині надання впевненості щодо звітності зі сталого розвитку та окремі вимоги до кваліфікації аудиторів. Звіт зі сталого розвитку може бути частиною Звіту про корпоративне управління.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Оскільки перші звіти про сталий розвиток відповідно до Директиви 2022/2464/ЄС мають бути подані у 2025 році - для  суб'єктів господарювання, фінансовий рік яких закінчується 31 грудня 2024 року, то таким суб'єктам вже зараз потрібно оцінити готовність до їх запровадження.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грудні 2023 року опубліковано ДЕЛЕГОВАНИЙ РЕГЛАМЕНТ КОМІСІЇ (ЄС) 2023/2772 від 31 липня 2023 року - доповнення Директиви 2013/34/ЄС Європейського Парламенту та Ради щодо стандартів звітності у сфері сталого розвитку, який має застосовуватися з 1 січня 2024 року. Цим Регламентом затверджено Європейські стандарти звітності зі сталого розвитку (ESRS). Вони охоплюють як вимоги до розкриття інформації про суб'єкт господарювання, так і основні положення щодо впливу діяльності суб'єкта господарювання на екологію, соціальну сферу, а також питання управління всередині суб'єкта господарювання.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сьогодні в законодавстві України відсутні вимоги  щодо складання та подання Звіту про сталий розвиток, проте питання перебуває на стадії опрацювання, тому суб'єктам господарювання необхідно розпочинати підготовчу роботу щодо  вивчення та аналізу інформації, необхідної для складання  Звіту про сталий розвиток.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фінансовій звітності Товариство, Компанія за звітний період, що закінчився 31.12.2024 року, не застосовувало достроково опубліковані МСФЗ, які не вступили в силу, поправки до них та інтерпретації.</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Судження щодо операцій, подій або умов за відсутності конкретних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Якщо немає МСФЗ, який конкретно застосовується до операції, іншої події або умови, керівництво Товариство, Компанія застосовує судження під час розроблення та застосування облікової політики, щоб інформація була доречною для потреб користувачів для прийняття економічних рішень та достовірною, у тому значенні, що фінансова звітність: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подає достовірно фінансовий стан, фінансові результати діяльності та грошові потоки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відображає економічну сутність операцій, інших подій або умов, а не лише юридичну форму;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є нейтральною, тобто вільною від упереджень;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є повною в усіх суттєвих аспектах.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Під час здійснення судження керівництво Товариство, Компанія посилається на прийнятність наведених далі джерел та враховує їх у низхідному порядку: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w:t>
      </w:r>
      <w:r w:rsidRPr="00875D57">
        <w:rPr>
          <w:rFonts w:ascii="Times New Roman" w:hAnsi="Times New Roman"/>
          <w:sz w:val="20"/>
          <w:szCs w:val="20"/>
          <w:lang w:val="en-US"/>
        </w:rPr>
        <w:tab/>
        <w:t>вимоги в МСФЗ, у яких ідеться про подібні та пов'язані з ними питання;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w:t>
      </w:r>
      <w:r w:rsidRPr="00875D57">
        <w:rPr>
          <w:rFonts w:ascii="Times New Roman" w:hAnsi="Times New Roman"/>
          <w:sz w:val="20"/>
          <w:szCs w:val="20"/>
          <w:lang w:val="en-US"/>
        </w:rPr>
        <w:tab/>
        <w:t>визначення, критерії визнання та концепції оцінки активів, зобов'язань, доходів та витрат у Концептуальній основі фінансової звітності.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Під час здійснення судження керівництво Товариство, Компанія враховує найостанніші положення інших органів, що розробляють та затверджують стандарти, які застосовують подібну концептуальну основу для розроблення стандартів, іншу професійну літературу з обліку та прийняті галузеві практики, тією мірою, якою вони не суперечать вищезазначеним джерелам.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Операції, що не регламентуються МСФЗ Товариство, Компанія не здійснювались.</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5.3. Розкриття інформації щодо використання справедливої вартості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Методики оцінювання та вхідні дані, використані для складання оцінок за справедливою вартістю</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Товариство, Компанія здійснює виключно оцінки справедливої вартості активів та зобов'язань, тобто такі оцінки, які вимагаються МСФЗ 9 та МСФЗ 13 у звіті про фінансовий стан на кінець кожного звітного періоду.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Компанія використовує такі методики оцінки, які є прийнятними в обставинах, що склалися і для яких доступні дані, достатні для оцінки справедливої вартості, при цьому максимально використовуючи відповідні вихідні дані активного ринку і мінімально використовуючи вихідні дані інших ринків.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Всі активи і зобов'язання, справедлива вартість яких оцінюється або розкривається у фінансовій звітності, класифікуються в рамках описаної нижче ієрархії джерел справедливої вартості на підставі вихідних даних самого нижнього рівня, які є значущими для оцінки справедливої вартості в цілому: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Рівень 1 - ринкові котирування цін на активному ринку по ідентичних активах або зобов'язаннях (без будь-яких коригувань);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Рівень 2 - моделі оцінки, в яких істотні для оцінки справедливої вартості вихідні дані, що відносяться до самого нижнього рівня ієрархії є прямо або побічно спостережуваними на ринку;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Рівень 3 - моделі оцінки, в яких істотні для оцінки справедливої вартості вихідні дані, що відносяться до самого нижнього рівня ієрархії не є спостережуваними на ринку.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У разі активів і зобов'язань, які визнаються у фінансовій звітності на періодичній основі, Товариство, Компанія визначає факт переведення між рівнями ієрархії джерел, повторно аналізуючи класифікацію (на підставі вихідних даних самого нижнього рівня, які є значущими для оцінки справедливої вартості в цілому) на кінець кожного звітного періоду.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Класи активів та зобов'язань, оцінених за справедливою вартістю</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Методики оцінювання</w:t>
      </w:r>
      <w:r w:rsidRPr="00875D57">
        <w:rPr>
          <w:rFonts w:ascii="Times New Roman" w:hAnsi="Times New Roman"/>
          <w:sz w:val="20"/>
          <w:szCs w:val="20"/>
          <w:lang w:val="en-US"/>
        </w:rPr>
        <w:tab/>
        <w:t>Метод оцінки (ринковий, дохідний, витратний)</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Вихідні дані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Інструменти капіталу</w:t>
      </w:r>
      <w:r w:rsidRPr="00875D57">
        <w:rPr>
          <w:rFonts w:ascii="Times New Roman" w:hAnsi="Times New Roman"/>
          <w:sz w:val="20"/>
          <w:szCs w:val="20"/>
          <w:lang w:val="en-US"/>
        </w:rPr>
        <w:tab/>
        <w:t>Первісна оцінка інструментів капіталу здійснюється за їх справедливою вартістю, яка зазвичай дорівнює ціні операції, в ході якої був отриманий актив. Подальша оцінка інструментів капіталу здійснюється за справедливою вартістю на дату оцінки.</w:t>
      </w:r>
      <w:r w:rsidRPr="00875D57">
        <w:rPr>
          <w:rFonts w:ascii="Times New Roman" w:hAnsi="Times New Roman"/>
          <w:sz w:val="20"/>
          <w:szCs w:val="20"/>
          <w:lang w:val="en-US"/>
        </w:rPr>
        <w:tab/>
        <w:t>Ринковий, витратний</w:t>
      </w:r>
      <w:r w:rsidRPr="00875D57">
        <w:rPr>
          <w:rFonts w:ascii="Times New Roman" w:hAnsi="Times New Roman"/>
          <w:sz w:val="20"/>
          <w:szCs w:val="20"/>
          <w:lang w:val="en-US"/>
        </w:rPr>
        <w:tab/>
        <w:t>Офіційні біржові курси організаторів торгів на дату оцінки, за відсутності визначеного біржового курсу на дату оцінки, використовується остання балансова вартість, ціни закриття біржового торгового дня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w:t>
      </w:r>
      <w:r w:rsidRPr="00875D57">
        <w:rPr>
          <w:rFonts w:ascii="Times New Roman" w:hAnsi="Times New Roman"/>
          <w:sz w:val="20"/>
          <w:szCs w:val="20"/>
          <w:lang w:val="en-US"/>
        </w:rPr>
        <w:tab/>
        <w:t>РОЗКРИТТЯ ІНФОРМАЦІЇ ЩОДО ЗВІТУ ПРО ФІНАНСОВИЙ СТАН</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6.1.Нематеріальні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Рух нематеріальних активів за період з 01.01.2023 року по 31.12.2023 року був наступним: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Ліцензії</w:t>
      </w:r>
      <w:r w:rsidRPr="00875D57">
        <w:rPr>
          <w:rFonts w:ascii="Times New Roman" w:hAnsi="Times New Roman"/>
          <w:sz w:val="20"/>
          <w:szCs w:val="20"/>
          <w:lang w:val="en-US"/>
        </w:rPr>
        <w:tab/>
        <w:t>Всього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Первісна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01.01.2023р.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надійшло</w:t>
      </w:r>
      <w:r w:rsidRPr="00875D57">
        <w:rPr>
          <w:rFonts w:ascii="Times New Roman" w:hAnsi="Times New Roman"/>
          <w:sz w:val="20"/>
          <w:szCs w:val="20"/>
          <w:lang w:val="en-US"/>
        </w:rPr>
        <w:tab/>
        <w:t>-</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вибуло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31.12.2023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Амортизація на 01.01.2023р</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нараховано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списано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31.12.2023 р.</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Балансова вартість:</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01.01.2023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31.12.2023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Рух нематеріальних активів за період з 01.01.2024 року по 31.12.2024 року був наступним: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Ліцензії</w:t>
      </w:r>
      <w:r w:rsidRPr="00875D57">
        <w:rPr>
          <w:rFonts w:ascii="Times New Roman" w:hAnsi="Times New Roman"/>
          <w:sz w:val="20"/>
          <w:szCs w:val="20"/>
          <w:lang w:val="en-US"/>
        </w:rPr>
        <w:tab/>
        <w:t>Всього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Первісна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01.01.2024р.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надійшло</w:t>
      </w:r>
      <w:r w:rsidRPr="00875D57">
        <w:rPr>
          <w:rFonts w:ascii="Times New Roman" w:hAnsi="Times New Roman"/>
          <w:sz w:val="20"/>
          <w:szCs w:val="20"/>
          <w:lang w:val="en-US"/>
        </w:rPr>
        <w:tab/>
        <w:t>-</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вибуло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31.12.2024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Амортизація на 01.01.2024р.</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нараховано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списано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31.12.2024 р.</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Балансова вартість:</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01.01.2024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31.12.2024 р.</w:t>
      </w:r>
      <w:r w:rsidRPr="00875D57">
        <w:rPr>
          <w:rFonts w:ascii="Times New Roman" w:hAnsi="Times New Roman"/>
          <w:sz w:val="20"/>
          <w:szCs w:val="20"/>
          <w:lang w:val="en-US"/>
        </w:rPr>
        <w:tab/>
        <w:t>6</w:t>
      </w:r>
      <w:r w:rsidRPr="00875D57">
        <w:rPr>
          <w:rFonts w:ascii="Times New Roman" w:hAnsi="Times New Roman"/>
          <w:sz w:val="20"/>
          <w:szCs w:val="20"/>
          <w:lang w:val="en-US"/>
        </w:rPr>
        <w:tab/>
        <w:t>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не проводила переоцінку вартості наявних в неї нематеріальних активів станом на 31.12.2024 року.  Нематеріальних активів, залишкова вартість яких дорівнює нулю, та які продовжують експлуатуватися станом на 31.12.2024 року у Товариство, Компанія немає. На звітну дату нематеріальні активи не були надані у будь-яку заставу, та не обмежені у розпорядженні та використанні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6.2.Основні засоби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Рух основних засобів за період з 01.01.2024 року по 31.12.2024 року був наступним: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Офісна техніка та обладнання</w:t>
      </w:r>
      <w:r w:rsidRPr="00875D57">
        <w:rPr>
          <w:rFonts w:ascii="Times New Roman" w:hAnsi="Times New Roman"/>
          <w:sz w:val="20"/>
          <w:szCs w:val="20"/>
          <w:lang w:val="en-US"/>
        </w:rPr>
        <w:tab/>
        <w:t>Всього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Первісна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01.01.2024р.</w:t>
      </w:r>
      <w:r w:rsidRPr="00875D57">
        <w:rPr>
          <w:rFonts w:ascii="Times New Roman" w:hAnsi="Times New Roman"/>
          <w:sz w:val="20"/>
          <w:szCs w:val="20"/>
          <w:lang w:val="en-US"/>
        </w:rPr>
        <w:tab/>
        <w:t>102</w:t>
      </w:r>
      <w:r w:rsidRPr="00875D57">
        <w:rPr>
          <w:rFonts w:ascii="Times New Roman" w:hAnsi="Times New Roman"/>
          <w:sz w:val="20"/>
          <w:szCs w:val="20"/>
          <w:lang w:val="en-US"/>
        </w:rPr>
        <w:tab/>
        <w:t>102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надійшло</w:t>
      </w:r>
      <w:r w:rsidRPr="00875D57">
        <w:rPr>
          <w:rFonts w:ascii="Times New Roman" w:hAnsi="Times New Roman"/>
          <w:sz w:val="20"/>
          <w:szCs w:val="20"/>
          <w:lang w:val="en-US"/>
        </w:rPr>
        <w:tab/>
        <w:t>548</w:t>
      </w:r>
      <w:r w:rsidRPr="00875D57">
        <w:rPr>
          <w:rFonts w:ascii="Times New Roman" w:hAnsi="Times New Roman"/>
          <w:sz w:val="20"/>
          <w:szCs w:val="20"/>
          <w:lang w:val="en-US"/>
        </w:rPr>
        <w:tab/>
        <w:t>548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вибуло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31.12.2024 р.</w:t>
      </w:r>
      <w:r w:rsidRPr="00875D57">
        <w:rPr>
          <w:rFonts w:ascii="Times New Roman" w:hAnsi="Times New Roman"/>
          <w:sz w:val="20"/>
          <w:szCs w:val="20"/>
          <w:lang w:val="en-US"/>
        </w:rPr>
        <w:tab/>
        <w:t>650</w:t>
      </w:r>
      <w:r w:rsidRPr="00875D57">
        <w:rPr>
          <w:rFonts w:ascii="Times New Roman" w:hAnsi="Times New Roman"/>
          <w:sz w:val="20"/>
          <w:szCs w:val="20"/>
          <w:lang w:val="en-US"/>
        </w:rPr>
        <w:tab/>
        <w:t>650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Амортизація на 01.01.2024р.</w:t>
      </w:r>
      <w:r w:rsidRPr="00875D57">
        <w:rPr>
          <w:rFonts w:ascii="Times New Roman" w:hAnsi="Times New Roman"/>
          <w:sz w:val="20"/>
          <w:szCs w:val="20"/>
          <w:lang w:val="en-US"/>
        </w:rPr>
        <w:tab/>
        <w:t>34</w:t>
      </w:r>
      <w:r w:rsidRPr="00875D57">
        <w:rPr>
          <w:rFonts w:ascii="Times New Roman" w:hAnsi="Times New Roman"/>
          <w:sz w:val="20"/>
          <w:szCs w:val="20"/>
          <w:lang w:val="en-US"/>
        </w:rPr>
        <w:tab/>
        <w:t>34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нараховано</w:t>
      </w:r>
      <w:r w:rsidRPr="00875D57">
        <w:rPr>
          <w:rFonts w:ascii="Times New Roman" w:hAnsi="Times New Roman"/>
          <w:sz w:val="20"/>
          <w:szCs w:val="20"/>
          <w:lang w:val="en-US"/>
        </w:rPr>
        <w:tab/>
        <w:t>262</w:t>
      </w:r>
      <w:r w:rsidRPr="00875D57">
        <w:rPr>
          <w:rFonts w:ascii="Times New Roman" w:hAnsi="Times New Roman"/>
          <w:sz w:val="20"/>
          <w:szCs w:val="20"/>
          <w:lang w:val="en-US"/>
        </w:rPr>
        <w:tab/>
        <w:t>262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Списано</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31.12.2024 р.</w:t>
      </w:r>
      <w:r w:rsidRPr="00875D57">
        <w:rPr>
          <w:rFonts w:ascii="Times New Roman" w:hAnsi="Times New Roman"/>
          <w:sz w:val="20"/>
          <w:szCs w:val="20"/>
          <w:lang w:val="en-US"/>
        </w:rPr>
        <w:tab/>
        <w:t>296</w:t>
      </w:r>
      <w:r w:rsidRPr="00875D57">
        <w:rPr>
          <w:rFonts w:ascii="Times New Roman" w:hAnsi="Times New Roman"/>
          <w:sz w:val="20"/>
          <w:szCs w:val="20"/>
          <w:lang w:val="en-US"/>
        </w:rPr>
        <w:tab/>
        <w:t>296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Балансова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01.01.2024 р.</w:t>
      </w:r>
      <w:r w:rsidRPr="00875D57">
        <w:rPr>
          <w:rFonts w:ascii="Times New Roman" w:hAnsi="Times New Roman"/>
          <w:sz w:val="20"/>
          <w:szCs w:val="20"/>
          <w:lang w:val="en-US"/>
        </w:rPr>
        <w:tab/>
        <w:t>68</w:t>
      </w:r>
      <w:r w:rsidRPr="00875D57">
        <w:rPr>
          <w:rFonts w:ascii="Times New Roman" w:hAnsi="Times New Roman"/>
          <w:sz w:val="20"/>
          <w:szCs w:val="20"/>
          <w:lang w:val="en-US"/>
        </w:rPr>
        <w:tab/>
        <w:t>68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 30.12.2024 р.</w:t>
      </w:r>
      <w:r w:rsidRPr="00875D57">
        <w:rPr>
          <w:rFonts w:ascii="Times New Roman" w:hAnsi="Times New Roman"/>
          <w:sz w:val="20"/>
          <w:szCs w:val="20"/>
          <w:lang w:val="en-US"/>
        </w:rPr>
        <w:tab/>
        <w:t>354</w:t>
      </w:r>
      <w:r w:rsidRPr="00875D57">
        <w:rPr>
          <w:rFonts w:ascii="Times New Roman" w:hAnsi="Times New Roman"/>
          <w:sz w:val="20"/>
          <w:szCs w:val="20"/>
          <w:lang w:val="en-US"/>
        </w:rPr>
        <w:tab/>
        <w:t>354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не проводила переоцінку вартості наявних в неї основних засобів станом на 31.12.2024  року, в зв'язку з тим, що в результаті проведеного моніторингу на ознаки знецінення, вони були не суттєвими. Основних засобів, залишкова вартість яких дорівнює нулю, та які продовжують експлуатуватися станом на 31.12.2024  року у Товариство, Компанія немає.  На звітну дату основні засоби не були надані у будь-яку заставу та не обмежені у розпорядженні та використанні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Основні засоби, що тимчасово не використовуються, на 31.12.2024 року  відсутні.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6.3. Незавершені капітальні інвестиції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На 31.12.2024 р.</w:t>
      </w:r>
      <w:r w:rsidRPr="00875D57">
        <w:rPr>
          <w:rFonts w:ascii="Times New Roman" w:hAnsi="Times New Roman"/>
          <w:sz w:val="20"/>
          <w:szCs w:val="20"/>
          <w:lang w:val="en-US"/>
        </w:rPr>
        <w:tab/>
        <w:t>На 31.12.23 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Незавершені капітальні інвестиції</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Незавершені капітальні інвестиції-це придбані запчастини по майбутнім активам для продажу (договори лізингу).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6.4. Фінансові активи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Довгострокова дебіторська заборгованість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Вид фінансових активів</w:t>
      </w:r>
      <w:r w:rsidRPr="00875D57">
        <w:rPr>
          <w:rFonts w:ascii="Times New Roman" w:hAnsi="Times New Roman"/>
          <w:sz w:val="20"/>
          <w:szCs w:val="20"/>
          <w:lang w:val="en-US"/>
        </w:rPr>
        <w:tab/>
        <w:t>Станом на початок звітного періоду фінансові активи що оцінюються за:</w:t>
      </w:r>
      <w:r w:rsidRPr="00875D57">
        <w:rPr>
          <w:rFonts w:ascii="Times New Roman" w:hAnsi="Times New Roman"/>
          <w:sz w:val="20"/>
          <w:szCs w:val="20"/>
          <w:lang w:val="en-US"/>
        </w:rPr>
        <w:tab/>
        <w:t>Станом на кінець звітного періоду фінансові активи, що оцінюються за: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справедливою вартістю з через прибуток або збиток</w:t>
      </w:r>
      <w:r w:rsidRPr="00875D57">
        <w:rPr>
          <w:rFonts w:ascii="Times New Roman" w:hAnsi="Times New Roman"/>
          <w:sz w:val="20"/>
          <w:szCs w:val="20"/>
          <w:lang w:val="en-US"/>
        </w:rPr>
        <w:tab/>
        <w:t>справедливою вартістю з через інший сукупний дохід</w:t>
      </w:r>
      <w:r w:rsidRPr="00875D57">
        <w:rPr>
          <w:rFonts w:ascii="Times New Roman" w:hAnsi="Times New Roman"/>
          <w:sz w:val="20"/>
          <w:szCs w:val="20"/>
          <w:lang w:val="en-US"/>
        </w:rPr>
        <w:tab/>
        <w:t>амортизованою собівартістю</w:t>
      </w:r>
      <w:r w:rsidRPr="00875D57">
        <w:rPr>
          <w:rFonts w:ascii="Times New Roman" w:hAnsi="Times New Roman"/>
          <w:sz w:val="20"/>
          <w:szCs w:val="20"/>
          <w:lang w:val="en-US"/>
        </w:rPr>
        <w:tab/>
        <w:t>справедливою вартістю через прибуток або збиток</w:t>
      </w:r>
      <w:r w:rsidRPr="00875D57">
        <w:rPr>
          <w:rFonts w:ascii="Times New Roman" w:hAnsi="Times New Roman"/>
          <w:sz w:val="20"/>
          <w:szCs w:val="20"/>
          <w:lang w:val="en-US"/>
        </w:rPr>
        <w:tab/>
        <w:t>справедливою вартістю з через інший сукупний дохід</w:t>
      </w:r>
      <w:r w:rsidRPr="00875D57">
        <w:rPr>
          <w:rFonts w:ascii="Times New Roman" w:hAnsi="Times New Roman"/>
          <w:sz w:val="20"/>
          <w:szCs w:val="20"/>
          <w:lang w:val="en-US"/>
        </w:rPr>
        <w:tab/>
        <w:t>амортизованою собівартістю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Довгострокова дебіторська заборгованість з фізичними та юридичними особами (понад 12 місяців) за майно, що передано у фінансову оренду</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98 709</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131 718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Довгострокова дебіторська заборгованість за кредитними договорами з фізичними та юридичними особами</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0</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45 708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Усього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98 709</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86 010</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дебіторська заборгованість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Поточні активи класифіковані, виходячи з відповідності будь-якому з критеріїв, визначених у п. 61 МСБО 1 як активи, призначені для використання у  діяльності  з надання фінансових послуг  протягом операційного циклу та не більше 12 місяців з дати балансу.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Розрахунки з нарахованих доходів за  2024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Залишок на початок періоду, тис.грн</w:t>
      </w:r>
      <w:r w:rsidRPr="00875D57">
        <w:rPr>
          <w:rFonts w:ascii="Times New Roman" w:hAnsi="Times New Roman"/>
          <w:sz w:val="20"/>
          <w:szCs w:val="20"/>
          <w:lang w:val="en-US"/>
        </w:rPr>
        <w:tab/>
        <w:t>нараховані відсотки, тис. грн</w:t>
      </w:r>
      <w:r w:rsidRPr="00875D57">
        <w:rPr>
          <w:rFonts w:ascii="Times New Roman" w:hAnsi="Times New Roman"/>
          <w:sz w:val="20"/>
          <w:szCs w:val="20"/>
          <w:lang w:val="en-US"/>
        </w:rPr>
        <w:tab/>
        <w:t>сплачені відсотки, тис. грн</w:t>
      </w:r>
      <w:r w:rsidRPr="00875D57">
        <w:rPr>
          <w:rFonts w:ascii="Times New Roman" w:hAnsi="Times New Roman"/>
          <w:sz w:val="20"/>
          <w:szCs w:val="20"/>
          <w:lang w:val="en-US"/>
        </w:rPr>
        <w:tab/>
        <w:t>резерв під очікувані кредитні збитки, тис. грн</w:t>
      </w:r>
      <w:r w:rsidRPr="00875D57">
        <w:rPr>
          <w:rFonts w:ascii="Times New Roman" w:hAnsi="Times New Roman"/>
          <w:sz w:val="20"/>
          <w:szCs w:val="20"/>
          <w:lang w:val="en-US"/>
        </w:rPr>
        <w:tab/>
        <w:t>Залишок на кінець періоду,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 за розрахунками з нарахованих доходів з фізичними та юридичними особами</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2 250</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161 926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158 609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-2 050</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3 517</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Інша поточна дебіторська заборгованість за  2024 рік,                тис. грн.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Вид фінансових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активів</w:t>
      </w:r>
      <w:r w:rsidRPr="00875D57">
        <w:rPr>
          <w:rFonts w:ascii="Times New Roman" w:hAnsi="Times New Roman"/>
          <w:sz w:val="20"/>
          <w:szCs w:val="20"/>
          <w:lang w:val="en-US"/>
        </w:rPr>
        <w:tab/>
        <w:t>Станом на початок звітного періоду фінансові активи, що оцінюються за:</w:t>
      </w:r>
      <w:r w:rsidRPr="00875D57">
        <w:rPr>
          <w:rFonts w:ascii="Times New Roman" w:hAnsi="Times New Roman"/>
          <w:sz w:val="20"/>
          <w:szCs w:val="20"/>
          <w:lang w:val="en-US"/>
        </w:rPr>
        <w:tab/>
        <w:t>Станом на кінець звітного періоду фінансові активи, що оцінюються за: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справедливою вартістю з через прибуток або збиток</w:t>
      </w:r>
      <w:r w:rsidRPr="00875D57">
        <w:rPr>
          <w:rFonts w:ascii="Times New Roman" w:hAnsi="Times New Roman"/>
          <w:sz w:val="20"/>
          <w:szCs w:val="20"/>
          <w:lang w:val="en-US"/>
        </w:rPr>
        <w:tab/>
        <w:t>справедливою вартістю з через інший сукупний дохід</w:t>
      </w:r>
      <w:r w:rsidRPr="00875D57">
        <w:rPr>
          <w:rFonts w:ascii="Times New Roman" w:hAnsi="Times New Roman"/>
          <w:sz w:val="20"/>
          <w:szCs w:val="20"/>
          <w:lang w:val="en-US"/>
        </w:rPr>
        <w:tab/>
        <w:t>амортизованою собівартістю</w:t>
      </w:r>
      <w:r w:rsidRPr="00875D57">
        <w:rPr>
          <w:rFonts w:ascii="Times New Roman" w:hAnsi="Times New Roman"/>
          <w:sz w:val="20"/>
          <w:szCs w:val="20"/>
          <w:lang w:val="en-US"/>
        </w:rPr>
        <w:tab/>
        <w:t>справедливою вартістю через прибуток або збиток</w:t>
      </w:r>
      <w:r w:rsidRPr="00875D57">
        <w:rPr>
          <w:rFonts w:ascii="Times New Roman" w:hAnsi="Times New Roman"/>
          <w:sz w:val="20"/>
          <w:szCs w:val="20"/>
          <w:lang w:val="en-US"/>
        </w:rPr>
        <w:tab/>
        <w:t>справедливою вартістю з через інший сукупний дохід</w:t>
      </w:r>
      <w:r w:rsidRPr="00875D57">
        <w:rPr>
          <w:rFonts w:ascii="Times New Roman" w:hAnsi="Times New Roman"/>
          <w:sz w:val="20"/>
          <w:szCs w:val="20"/>
          <w:lang w:val="en-US"/>
        </w:rPr>
        <w:tab/>
        <w:t>амортизованою собівартістю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1. Дебіторська заборгованість нового кредитора за договорами відступлення прав вимоги - первісна вартість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0</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0</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1б. Дебіторська заборгованість нового кредитора за договорами відступлення прав вимоги - амортизована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0</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0</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w:t>
      </w:r>
      <w:r w:rsidRPr="00875D57">
        <w:rPr>
          <w:rFonts w:ascii="Times New Roman" w:hAnsi="Times New Roman"/>
          <w:sz w:val="20"/>
          <w:szCs w:val="20"/>
          <w:lang w:val="en-US"/>
        </w:rPr>
        <w:tab/>
        <w:t xml:space="preserve">Дебіторська заборгованість за кредитними договорами - первісна вартість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71 509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33 175</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2а. Резерв очікуваних кредитних збитків</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(3 536)</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(14 371)</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2б. Дебіторська заборгованість за кредитними договорами - амортизована вартість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67 973</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18 804</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2. Дебіторська заборгованість за договорами фінансового лізингу-поточна заборгованість - первісна вартість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56 667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164 055</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3а. Резерв очікуваних кредитних збитків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(42 326)</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(56 929)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 за договорами фінансового лізингу-поточна заборгованість - амортизована  вартість</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14 341</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107 126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Всього - інша поточна дебіторська заборгованість - амортизована вартість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82 314</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125 930</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 за виданими авансами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Дебіторська заборгованість за виданими авансами</w:t>
      </w:r>
      <w:r w:rsidRPr="00875D57">
        <w:rPr>
          <w:rFonts w:ascii="Times New Roman" w:hAnsi="Times New Roman"/>
          <w:sz w:val="20"/>
          <w:szCs w:val="20"/>
          <w:lang w:val="en-US"/>
        </w:rPr>
        <w:tab/>
        <w:t>960</w:t>
      </w:r>
      <w:r w:rsidRPr="00875D57">
        <w:rPr>
          <w:rFonts w:ascii="Times New Roman" w:hAnsi="Times New Roman"/>
          <w:sz w:val="20"/>
          <w:szCs w:val="20"/>
          <w:lang w:val="en-US"/>
        </w:rPr>
        <w:tab/>
      </w:r>
      <w:r w:rsidRPr="00875D57">
        <w:rPr>
          <w:rFonts w:ascii="Times New Roman" w:hAnsi="Times New Roman"/>
          <w:sz w:val="20"/>
          <w:szCs w:val="20"/>
          <w:lang w:val="en-US"/>
        </w:rPr>
        <w:tab/>
        <w:t>960</w:t>
      </w:r>
      <w:r w:rsidRPr="00875D57">
        <w:rPr>
          <w:rFonts w:ascii="Times New Roman" w:hAnsi="Times New Roman"/>
          <w:sz w:val="20"/>
          <w:szCs w:val="20"/>
          <w:lang w:val="en-US"/>
        </w:rPr>
        <w:tab/>
        <w:t>-</w:t>
      </w:r>
      <w:r w:rsidRPr="00875D57">
        <w:rPr>
          <w:rFonts w:ascii="Times New Roman" w:hAnsi="Times New Roman"/>
          <w:sz w:val="20"/>
          <w:szCs w:val="20"/>
          <w:lang w:val="en-US"/>
        </w:rPr>
        <w:tab/>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960</w:t>
      </w:r>
      <w:r w:rsidRPr="00875D57">
        <w:rPr>
          <w:rFonts w:ascii="Times New Roman" w:hAnsi="Times New Roman"/>
          <w:sz w:val="20"/>
          <w:szCs w:val="20"/>
          <w:lang w:val="en-US"/>
        </w:rPr>
        <w:tab/>
      </w:r>
      <w:r w:rsidRPr="00875D57">
        <w:rPr>
          <w:rFonts w:ascii="Times New Roman" w:hAnsi="Times New Roman"/>
          <w:sz w:val="20"/>
          <w:szCs w:val="20"/>
          <w:lang w:val="en-US"/>
        </w:rPr>
        <w:tab/>
        <w:t>960</w:t>
      </w:r>
      <w:r w:rsidRPr="00875D57">
        <w:rPr>
          <w:rFonts w:ascii="Times New Roman" w:hAnsi="Times New Roman"/>
          <w:sz w:val="20"/>
          <w:szCs w:val="20"/>
          <w:lang w:val="en-US"/>
        </w:rPr>
        <w:tab/>
        <w:t>-</w:t>
      </w:r>
      <w:r w:rsidRPr="00875D57">
        <w:rPr>
          <w:rFonts w:ascii="Times New Roman" w:hAnsi="Times New Roman"/>
          <w:sz w:val="20"/>
          <w:szCs w:val="20"/>
          <w:lang w:val="en-US"/>
        </w:rPr>
        <w:tab/>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Аналіз кредитної якості боргових фінансових інструментів на кінець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визначає кредитний збиток за фінансовим активом як теперішню вартість різниці між передбаченими договором грошовими потоками, які належать Товариство, Компанія за договором та грошовими потоками, які Товариство, Компанія очікує отримати. Для оцінки грошових потоків, які очікується отримати, використовується ймовірність дефолту з врахуванням виживаності, яка включає вплив прогнозних макроекономічних показників. На кожну звітну дату Товариство, Компанія переглядає свої оцінки ймовірності дефолту, виходячи з фінансового стану контрагента та стану платежів за договором. Станом на 31 грудня 2024 року Товариство, Компанія врахувало можливий вплив військового вторгнення, окупацію території України на ймовірності дефолту та очікувані грошові потоки за кредитно-знеціненим активом, виходячи з інформації, доступної на 31.12.2024р.</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6.5. ГРОШОВІ КОШТИ ТА ЇХ ЕКВІВАЛЕНТИ, ФІНАНСОВІ ІНВЕСТИЦІЇ</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звітну дату, грошові кошти та їх еквіваленти включають грошові кошти на поточних рахунках банків: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Показники</w:t>
      </w:r>
      <w:r w:rsidRPr="00875D57">
        <w:rPr>
          <w:rFonts w:ascii="Times New Roman" w:hAnsi="Times New Roman"/>
          <w:sz w:val="20"/>
          <w:szCs w:val="20"/>
          <w:lang w:val="en-US"/>
        </w:rPr>
        <w:tab/>
        <w:t>31.12.2023</w:t>
      </w:r>
      <w:r w:rsidRPr="00875D57">
        <w:rPr>
          <w:rFonts w:ascii="Times New Roman" w:hAnsi="Times New Roman"/>
          <w:sz w:val="20"/>
          <w:szCs w:val="20"/>
          <w:lang w:val="en-US"/>
        </w:rPr>
        <w:tab/>
        <w:t>31.12.2024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Гроші (гривні) на поточних рахунках</w:t>
      </w:r>
      <w:r w:rsidRPr="00875D57">
        <w:rPr>
          <w:rFonts w:ascii="Times New Roman" w:hAnsi="Times New Roman"/>
          <w:sz w:val="20"/>
          <w:szCs w:val="20"/>
          <w:lang w:val="en-US"/>
        </w:rPr>
        <w:tab/>
        <w:t>5 266</w:t>
      </w:r>
      <w:r w:rsidRPr="00875D57">
        <w:rPr>
          <w:rFonts w:ascii="Times New Roman" w:hAnsi="Times New Roman"/>
          <w:sz w:val="20"/>
          <w:szCs w:val="20"/>
          <w:lang w:val="en-US"/>
        </w:rPr>
        <w:tab/>
        <w:t>914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Готівка</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фінансові інвестиції</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РАЗОМ</w:t>
      </w:r>
      <w:r w:rsidRPr="00875D57">
        <w:rPr>
          <w:rFonts w:ascii="Times New Roman" w:hAnsi="Times New Roman"/>
          <w:sz w:val="20"/>
          <w:szCs w:val="20"/>
          <w:lang w:val="en-US"/>
        </w:rPr>
        <w:tab/>
        <w:t>5 266</w:t>
      </w:r>
      <w:r w:rsidRPr="00875D57">
        <w:rPr>
          <w:rFonts w:ascii="Times New Roman" w:hAnsi="Times New Roman"/>
          <w:sz w:val="20"/>
          <w:szCs w:val="20"/>
          <w:lang w:val="en-US"/>
        </w:rPr>
        <w:tab/>
        <w:t>914</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Доступ до грошей на поточних рахунках вільний, обмежень немає.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Негрошові фінансові операції протягом звітного періоду не проводилися.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Станом на 31 грудня 2024 року балансова вартість грошових коштів дорівнює їх амортизованій вартості і становить 914 тис. грн.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6.6.  Запаси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Головним в обліку запасів є визначення суми собівартості, яка визнається як актив та переноситися на майбутні періоди до моменту визнання відповідних доходів. Запаси Товариство, Компанія придбаються для передачі у фінансову оренду (лізинг)</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Показники</w:t>
      </w:r>
      <w:r w:rsidRPr="00875D57">
        <w:rPr>
          <w:rFonts w:ascii="Times New Roman" w:hAnsi="Times New Roman"/>
          <w:sz w:val="20"/>
          <w:szCs w:val="20"/>
          <w:lang w:val="en-US"/>
        </w:rPr>
        <w:tab/>
      </w:r>
      <w:r w:rsidRPr="00875D57">
        <w:rPr>
          <w:rFonts w:ascii="Times New Roman" w:hAnsi="Times New Roman"/>
          <w:sz w:val="20"/>
          <w:szCs w:val="20"/>
          <w:lang w:val="en-US"/>
        </w:rPr>
        <w:tab/>
        <w:t>31.12.2023</w:t>
      </w:r>
      <w:r w:rsidRPr="00875D57">
        <w:rPr>
          <w:rFonts w:ascii="Times New Roman" w:hAnsi="Times New Roman"/>
          <w:sz w:val="20"/>
          <w:szCs w:val="20"/>
          <w:lang w:val="en-US"/>
        </w:rPr>
        <w:tab/>
        <w:t>30.12.2024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Запаси: </w:t>
      </w:r>
      <w:r w:rsidRPr="00875D57">
        <w:rPr>
          <w:rFonts w:ascii="Times New Roman" w:hAnsi="Times New Roman"/>
          <w:sz w:val="20"/>
          <w:szCs w:val="20"/>
          <w:lang w:val="en-US"/>
        </w:rPr>
        <w:tab/>
        <w:t>3 232</w:t>
      </w:r>
      <w:r w:rsidRPr="00875D57">
        <w:rPr>
          <w:rFonts w:ascii="Times New Roman" w:hAnsi="Times New Roman"/>
          <w:sz w:val="20"/>
          <w:szCs w:val="20"/>
          <w:lang w:val="en-US"/>
        </w:rPr>
        <w:tab/>
        <w:t>18 320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Виробничі записи</w:t>
      </w:r>
      <w:r w:rsidRPr="00875D57">
        <w:rPr>
          <w:rFonts w:ascii="Times New Roman" w:hAnsi="Times New Roman"/>
          <w:sz w:val="20"/>
          <w:szCs w:val="20"/>
          <w:lang w:val="en-US"/>
        </w:rPr>
        <w:tab/>
        <w:t>-</w:t>
      </w:r>
      <w:r w:rsidRPr="00875D57">
        <w:rPr>
          <w:rFonts w:ascii="Times New Roman" w:hAnsi="Times New Roman"/>
          <w:sz w:val="20"/>
          <w:szCs w:val="20"/>
          <w:lang w:val="en-US"/>
        </w:rPr>
        <w:tab/>
        <w:t>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w:t>
      </w:r>
      <w:r w:rsidRPr="00875D57">
        <w:rPr>
          <w:rFonts w:ascii="Times New Roman" w:hAnsi="Times New Roman"/>
          <w:sz w:val="20"/>
          <w:szCs w:val="20"/>
          <w:lang w:val="en-US"/>
        </w:rPr>
        <w:tab/>
        <w:t>3 232</w:t>
      </w:r>
      <w:r w:rsidRPr="00875D57">
        <w:rPr>
          <w:rFonts w:ascii="Times New Roman" w:hAnsi="Times New Roman"/>
          <w:sz w:val="20"/>
          <w:szCs w:val="20"/>
          <w:lang w:val="en-US"/>
        </w:rPr>
        <w:tab/>
        <w:t>18 317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6.7.  Витрати майбутніх періодів та інші оборотні активи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майбутніх періодів, які понесені в поточному та минулих періодах, але відносяться до майбутніх (представлені страхуванням майна) станом на 31.12.2023 року вони складають 2 794 тис. грн, станом на 31.12.2024 р. складають  5 560 тис. грн.</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6.8. Необоротні активи, утримувані для продажу, та групи вибуття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Необоротні активи, утримувані для продажу-це активи, які в подальшому будуть надані у фінансовий лізинг. Станом на 31.12.2023р. вартість таких активів 4 865  тис. грн, станом на 31.12.2024р. такі активи на балансі не обліковуються.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6.9. Відомості про власний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Капітал Товариство, Компанія  має наступну структуру: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Найменування показника структури капіталу</w:t>
      </w:r>
      <w:r w:rsidRPr="00875D57">
        <w:rPr>
          <w:rFonts w:ascii="Times New Roman" w:hAnsi="Times New Roman"/>
          <w:sz w:val="20"/>
          <w:szCs w:val="20"/>
          <w:lang w:val="en-US"/>
        </w:rPr>
        <w:tab/>
        <w:t>Станом на 31.12.2023 р., тис. грн.</w:t>
      </w:r>
      <w:r w:rsidRPr="00875D57">
        <w:rPr>
          <w:rFonts w:ascii="Times New Roman" w:hAnsi="Times New Roman"/>
          <w:sz w:val="20"/>
          <w:szCs w:val="20"/>
          <w:lang w:val="en-US"/>
        </w:rPr>
        <w:tab/>
        <w:t>Станом на 31.12.2024р, тис. грн.</w:t>
      </w:r>
      <w:r w:rsidRPr="00875D57">
        <w:rPr>
          <w:rFonts w:ascii="Times New Roman" w:hAnsi="Times New Roman"/>
          <w:sz w:val="20"/>
          <w:szCs w:val="20"/>
          <w:lang w:val="en-US"/>
        </w:rPr>
        <w:tab/>
        <w:t>Призначення та умови використання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Зареєстрований капітал</w:t>
      </w:r>
      <w:r w:rsidRPr="00875D57">
        <w:rPr>
          <w:rFonts w:ascii="Times New Roman" w:hAnsi="Times New Roman"/>
          <w:sz w:val="20"/>
          <w:szCs w:val="20"/>
          <w:lang w:val="en-US"/>
        </w:rPr>
        <w:tab/>
        <w:t>5 096</w:t>
      </w:r>
      <w:r w:rsidRPr="00875D57">
        <w:rPr>
          <w:rFonts w:ascii="Times New Roman" w:hAnsi="Times New Roman"/>
          <w:sz w:val="20"/>
          <w:szCs w:val="20"/>
          <w:lang w:val="en-US"/>
        </w:rPr>
        <w:tab/>
        <w:t>18 896</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Нерозподілений прибуток (непокритий збиток)</w:t>
      </w:r>
      <w:r w:rsidRPr="00875D57">
        <w:rPr>
          <w:rFonts w:ascii="Times New Roman" w:hAnsi="Times New Roman"/>
          <w:sz w:val="20"/>
          <w:szCs w:val="20"/>
          <w:lang w:val="en-US"/>
        </w:rPr>
        <w:tab/>
        <w:t>2 738</w:t>
      </w:r>
      <w:r w:rsidRPr="00875D57">
        <w:rPr>
          <w:rFonts w:ascii="Times New Roman" w:hAnsi="Times New Roman"/>
          <w:sz w:val="20"/>
          <w:szCs w:val="20"/>
          <w:lang w:val="en-US"/>
        </w:rPr>
        <w:tab/>
        <w:t>9 450</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7 834</w:t>
      </w:r>
      <w:r w:rsidRPr="00875D57">
        <w:rPr>
          <w:rFonts w:ascii="Times New Roman" w:hAnsi="Times New Roman"/>
          <w:sz w:val="20"/>
          <w:szCs w:val="20"/>
          <w:lang w:val="en-US"/>
        </w:rPr>
        <w:tab/>
        <w:t>28 346</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Статутний капітал Товариство, Компанія сформовано внесками Учасника Товариство, Компанія виключно у грошовій формі.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6.10. ЗАРЕЄСТРОВАНИЙ КАПІТАЛ</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Учасник Товариство, Компанія юридична  особа - ТОВ "ІНВЕСТ ДІЛ ГРУП".</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що становить 100% від об'явленого.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Права учасника щодо частки у статутному капіталі встановлені Статутом Товариство, Компанія, Цивільним кодексом та іншими законодавчими актами. Привілей та обмежень щодо частки у статутному капіталі Товариство, Компанія учасник не має.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Протягом  2024 року в статутному капіталі Товариство, Компанія відбулись зміни: статутний капітал збільшився на 13 800 тис грн. і на 31.12.2024р становить 18 896 тис.грн.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6.11. ДОВГОСТРОКОВІ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Зміни в фінансових зобов'язаннях, пов'язані з фінансовою діяльністю за звітний період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зобов'язання</w:t>
      </w:r>
      <w:r w:rsidRPr="00875D57">
        <w:rPr>
          <w:rFonts w:ascii="Times New Roman" w:hAnsi="Times New Roman"/>
          <w:sz w:val="20"/>
          <w:szCs w:val="20"/>
          <w:lang w:val="en-US"/>
        </w:rPr>
        <w:tab/>
        <w:t>Балансова вартість на початок звітного періоду</w:t>
      </w:r>
      <w:r w:rsidRPr="00875D57">
        <w:rPr>
          <w:rFonts w:ascii="Times New Roman" w:hAnsi="Times New Roman"/>
          <w:sz w:val="20"/>
          <w:szCs w:val="20"/>
          <w:lang w:val="en-US"/>
        </w:rPr>
        <w:tab/>
        <w:t>Рекласифікація</w:t>
      </w:r>
      <w:r w:rsidRPr="00875D57">
        <w:rPr>
          <w:rFonts w:ascii="Times New Roman" w:hAnsi="Times New Roman"/>
          <w:sz w:val="20"/>
          <w:szCs w:val="20"/>
          <w:lang w:val="en-US"/>
        </w:rPr>
        <w:tab/>
        <w:t>Зміна справедливої вартості</w:t>
      </w:r>
      <w:r w:rsidRPr="00875D57">
        <w:rPr>
          <w:rFonts w:ascii="Times New Roman" w:hAnsi="Times New Roman"/>
          <w:sz w:val="20"/>
          <w:szCs w:val="20"/>
          <w:lang w:val="en-US"/>
        </w:rPr>
        <w:tab/>
        <w:t>Збільшення зобов'язань</w:t>
      </w:r>
      <w:r w:rsidRPr="00875D57">
        <w:rPr>
          <w:rFonts w:ascii="Times New Roman" w:hAnsi="Times New Roman"/>
          <w:sz w:val="20"/>
          <w:szCs w:val="20"/>
          <w:lang w:val="en-US"/>
        </w:rPr>
        <w:tab/>
        <w:t>Погашення зобов'язань</w:t>
      </w:r>
      <w:r w:rsidRPr="00875D57">
        <w:rPr>
          <w:rFonts w:ascii="Times New Roman" w:hAnsi="Times New Roman"/>
          <w:sz w:val="20"/>
          <w:szCs w:val="20"/>
          <w:lang w:val="en-US"/>
        </w:rPr>
        <w:tab/>
        <w:t>Балансова вартість на кінець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Довгострокові кредити банків</w:t>
      </w:r>
      <w:r w:rsidRPr="00875D57">
        <w:rPr>
          <w:rFonts w:ascii="Times New Roman" w:hAnsi="Times New Roman"/>
          <w:sz w:val="20"/>
          <w:szCs w:val="20"/>
          <w:lang w:val="en-US"/>
        </w:rPr>
        <w:tab/>
        <w:t>13 657</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42 680</w:t>
      </w:r>
      <w:r w:rsidRPr="00875D57">
        <w:rPr>
          <w:rFonts w:ascii="Times New Roman" w:hAnsi="Times New Roman"/>
          <w:sz w:val="20"/>
          <w:szCs w:val="20"/>
          <w:lang w:val="en-US"/>
        </w:rPr>
        <w:tab/>
        <w:t>(28 082)</w:t>
      </w:r>
      <w:r w:rsidRPr="00875D57">
        <w:rPr>
          <w:rFonts w:ascii="Times New Roman" w:hAnsi="Times New Roman"/>
          <w:sz w:val="20"/>
          <w:szCs w:val="20"/>
          <w:lang w:val="en-US"/>
        </w:rPr>
        <w:tab/>
        <w:t>28 255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довгострокові зобов'язання (власні емітовані облігації)</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35 000</w:t>
      </w:r>
      <w:r w:rsidRPr="00875D57">
        <w:rPr>
          <w:rFonts w:ascii="Times New Roman" w:hAnsi="Times New Roman"/>
          <w:sz w:val="20"/>
          <w:szCs w:val="20"/>
          <w:lang w:val="en-US"/>
        </w:rPr>
        <w:tab/>
      </w:r>
      <w:r w:rsidRPr="00875D57">
        <w:rPr>
          <w:rFonts w:ascii="Times New Roman" w:hAnsi="Times New Roman"/>
          <w:sz w:val="20"/>
          <w:szCs w:val="20"/>
          <w:lang w:val="en-US"/>
        </w:rPr>
        <w:tab/>
        <w:t>35 000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Усього</w:t>
      </w:r>
      <w:r w:rsidRPr="00875D57">
        <w:rPr>
          <w:rFonts w:ascii="Times New Roman" w:hAnsi="Times New Roman"/>
          <w:sz w:val="20"/>
          <w:szCs w:val="20"/>
          <w:lang w:val="en-US"/>
        </w:rPr>
        <w:tab/>
        <w:t>13 657</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77 680</w:t>
      </w:r>
      <w:r w:rsidRPr="00875D57">
        <w:rPr>
          <w:rFonts w:ascii="Times New Roman" w:hAnsi="Times New Roman"/>
          <w:sz w:val="20"/>
          <w:szCs w:val="20"/>
          <w:lang w:val="en-US"/>
        </w:rPr>
        <w:tab/>
        <w:t>(28 082)</w:t>
      </w:r>
      <w:r w:rsidRPr="00875D57">
        <w:rPr>
          <w:rFonts w:ascii="Times New Roman" w:hAnsi="Times New Roman"/>
          <w:sz w:val="20"/>
          <w:szCs w:val="20"/>
          <w:lang w:val="en-US"/>
        </w:rPr>
        <w:tab/>
        <w:t>63 255</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Станом на 31 грудня 2024 року Інші довгострокові зобов'язання сформовані за рахунок: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випущених облігацій серії А -60 000 шт із них розміщено на 31.12.2024 р -35 000шт номінальною вартістю 35 000 000,00грн. 20.09.2024 року було прийнято рішення учасника №20/09/24-01про випуск іменних, відсоткових (16%), звичайних (незабезпечені)  облігацій. Номінальна вартість 1 000 (Одна тисяча) гривень 00 копійок.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Свідоцтво НКЦПФР про реєстрацію  випуску корпоративних облігацій № 37/2/2024 від 19.11.2024р., депозитарний  код рахунку № 10002400611501109 відкрито в НАЦІОНАЛЬНОМУ ДЕПОЗИТАРІЇ УКРАЇНИ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6.12. ПОТОЧНІ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Зміни в фінансових зобов'язаннях, пов'язані з фінансовою діяльністю за звітний період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зобов'язання</w:t>
      </w:r>
      <w:r w:rsidRPr="00875D57">
        <w:rPr>
          <w:rFonts w:ascii="Times New Roman" w:hAnsi="Times New Roman"/>
          <w:sz w:val="20"/>
          <w:szCs w:val="20"/>
          <w:lang w:val="en-US"/>
        </w:rPr>
        <w:tab/>
        <w:t>Балансова вартість на початок звітного періоду</w:t>
      </w:r>
      <w:r w:rsidRPr="00875D57">
        <w:rPr>
          <w:rFonts w:ascii="Times New Roman" w:hAnsi="Times New Roman"/>
          <w:sz w:val="20"/>
          <w:szCs w:val="20"/>
          <w:lang w:val="en-US"/>
        </w:rPr>
        <w:tab/>
        <w:t>Рекласифікація</w:t>
      </w:r>
      <w:r w:rsidRPr="00875D57">
        <w:rPr>
          <w:rFonts w:ascii="Times New Roman" w:hAnsi="Times New Roman"/>
          <w:sz w:val="20"/>
          <w:szCs w:val="20"/>
          <w:lang w:val="en-US"/>
        </w:rPr>
        <w:tab/>
        <w:t>Зміна справедливої вартості</w:t>
      </w:r>
      <w:r w:rsidRPr="00875D57">
        <w:rPr>
          <w:rFonts w:ascii="Times New Roman" w:hAnsi="Times New Roman"/>
          <w:sz w:val="20"/>
          <w:szCs w:val="20"/>
          <w:lang w:val="en-US"/>
        </w:rPr>
        <w:tab/>
        <w:t>Збільшення зобов'язань</w:t>
      </w:r>
      <w:r w:rsidRPr="00875D57">
        <w:rPr>
          <w:rFonts w:ascii="Times New Roman" w:hAnsi="Times New Roman"/>
          <w:sz w:val="20"/>
          <w:szCs w:val="20"/>
          <w:lang w:val="en-US"/>
        </w:rPr>
        <w:tab/>
        <w:t>Погашення зобов'язань</w:t>
      </w:r>
      <w:r w:rsidRPr="00875D57">
        <w:rPr>
          <w:rFonts w:ascii="Times New Roman" w:hAnsi="Times New Roman"/>
          <w:sz w:val="20"/>
          <w:szCs w:val="20"/>
          <w:lang w:val="en-US"/>
        </w:rPr>
        <w:tab/>
        <w:t>Балансова вартість на кінець звітного періоду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Заборгованість за договорами факторингу</w:t>
      </w:r>
      <w:r w:rsidRPr="00875D57">
        <w:rPr>
          <w:rFonts w:ascii="Times New Roman" w:hAnsi="Times New Roman"/>
          <w:sz w:val="20"/>
          <w:szCs w:val="20"/>
          <w:lang w:val="en-US"/>
        </w:rPr>
        <w:tab/>
        <w:t>59 119</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192</w:t>
      </w:r>
      <w:r w:rsidRPr="00875D57">
        <w:rPr>
          <w:rFonts w:ascii="Times New Roman" w:hAnsi="Times New Roman"/>
          <w:sz w:val="20"/>
          <w:szCs w:val="20"/>
          <w:lang w:val="en-US"/>
        </w:rPr>
        <w:tab/>
        <w:t>(47 051)</w:t>
      </w:r>
      <w:r w:rsidRPr="00875D57">
        <w:rPr>
          <w:rFonts w:ascii="Times New Roman" w:hAnsi="Times New Roman"/>
          <w:sz w:val="20"/>
          <w:szCs w:val="20"/>
          <w:lang w:val="en-US"/>
        </w:rPr>
        <w:tab/>
        <w:t>12 260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Заборгованість за договорами отриманої фінансової допомоги </w:t>
      </w:r>
      <w:r w:rsidRPr="00875D57">
        <w:rPr>
          <w:rFonts w:ascii="Times New Roman" w:hAnsi="Times New Roman"/>
          <w:sz w:val="20"/>
          <w:szCs w:val="20"/>
          <w:lang w:val="en-US"/>
        </w:rPr>
        <w:tab/>
        <w:t>54 104</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30 000</w:t>
      </w:r>
      <w:r w:rsidRPr="00875D57">
        <w:rPr>
          <w:rFonts w:ascii="Times New Roman" w:hAnsi="Times New Roman"/>
          <w:sz w:val="20"/>
          <w:szCs w:val="20"/>
          <w:lang w:val="en-US"/>
        </w:rPr>
        <w:tab/>
        <w:t>(26 549)</w:t>
      </w:r>
      <w:r w:rsidRPr="00875D57">
        <w:rPr>
          <w:rFonts w:ascii="Times New Roman" w:hAnsi="Times New Roman"/>
          <w:sz w:val="20"/>
          <w:szCs w:val="20"/>
          <w:lang w:val="en-US"/>
        </w:rPr>
        <w:tab/>
        <w:t>57 555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одержаними авансами</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5 330</w:t>
      </w:r>
      <w:r w:rsidRPr="00875D57">
        <w:rPr>
          <w:rFonts w:ascii="Times New Roman" w:hAnsi="Times New Roman"/>
          <w:sz w:val="20"/>
          <w:szCs w:val="20"/>
          <w:lang w:val="en-US"/>
        </w:rPr>
        <w:tab/>
        <w:t>-</w:t>
      </w:r>
      <w:r w:rsidRPr="00875D57">
        <w:rPr>
          <w:rFonts w:ascii="Times New Roman" w:hAnsi="Times New Roman"/>
          <w:sz w:val="20"/>
          <w:szCs w:val="20"/>
          <w:lang w:val="en-US"/>
        </w:rPr>
        <w:tab/>
        <w:t>5 330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кредиторська заборгованість за товари, роботи та послуги</w:t>
      </w:r>
      <w:r w:rsidRPr="00875D57">
        <w:rPr>
          <w:rFonts w:ascii="Times New Roman" w:hAnsi="Times New Roman"/>
          <w:sz w:val="20"/>
          <w:szCs w:val="20"/>
          <w:lang w:val="en-US"/>
        </w:rPr>
        <w:tab/>
        <w:t>609</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483 926</w:t>
      </w:r>
      <w:r w:rsidRPr="00875D57">
        <w:rPr>
          <w:rFonts w:ascii="Times New Roman" w:hAnsi="Times New Roman"/>
          <w:sz w:val="20"/>
          <w:szCs w:val="20"/>
          <w:lang w:val="en-US"/>
        </w:rPr>
        <w:tab/>
        <w:t>(481 799)</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2 736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заборгованість з розрахунками з бюджетом</w:t>
      </w:r>
      <w:r w:rsidRPr="00875D57">
        <w:rPr>
          <w:rFonts w:ascii="Times New Roman" w:hAnsi="Times New Roman"/>
          <w:sz w:val="20"/>
          <w:szCs w:val="20"/>
          <w:lang w:val="en-US"/>
        </w:rPr>
        <w:tab/>
        <w:t>294</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3 216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(3 337)</w:t>
      </w:r>
      <w:r w:rsidRPr="00875D57">
        <w:rPr>
          <w:rFonts w:ascii="Times New Roman" w:hAnsi="Times New Roman"/>
          <w:sz w:val="20"/>
          <w:szCs w:val="20"/>
          <w:lang w:val="en-US"/>
        </w:rPr>
        <w:tab/>
        <w:t>173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Поточна заборгованість по розрахункам з оплати праці</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3 651</w:t>
      </w:r>
      <w:r w:rsidRPr="00875D57">
        <w:rPr>
          <w:rFonts w:ascii="Times New Roman" w:hAnsi="Times New Roman"/>
          <w:sz w:val="20"/>
          <w:szCs w:val="20"/>
          <w:lang w:val="en-US"/>
        </w:rPr>
        <w:tab/>
        <w:t>(3 648)</w:t>
      </w:r>
      <w:r w:rsidRPr="00875D57">
        <w:rPr>
          <w:rFonts w:ascii="Times New Roman" w:hAnsi="Times New Roman"/>
          <w:sz w:val="20"/>
          <w:szCs w:val="20"/>
          <w:lang w:val="en-US"/>
        </w:rPr>
        <w:tab/>
        <w:t>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Короткострокові кредити банків</w:t>
      </w:r>
      <w:r w:rsidRPr="00875D57">
        <w:rPr>
          <w:rFonts w:ascii="Times New Roman" w:hAnsi="Times New Roman"/>
          <w:sz w:val="20"/>
          <w:szCs w:val="20"/>
          <w:lang w:val="en-US"/>
        </w:rPr>
        <w:tab/>
        <w:t>6 259</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27 385</w:t>
      </w:r>
      <w:r w:rsidRPr="00875D57">
        <w:rPr>
          <w:rFonts w:ascii="Times New Roman" w:hAnsi="Times New Roman"/>
          <w:sz w:val="20"/>
          <w:szCs w:val="20"/>
          <w:lang w:val="en-US"/>
        </w:rPr>
        <w:tab/>
        <w:t>(19287)</w:t>
      </w:r>
      <w:r w:rsidRPr="00875D57">
        <w:rPr>
          <w:rFonts w:ascii="Times New Roman" w:hAnsi="Times New Roman"/>
          <w:sz w:val="20"/>
          <w:szCs w:val="20"/>
          <w:lang w:val="en-US"/>
        </w:rPr>
        <w:tab/>
        <w:t>14 357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Поточна заборгованість по з довгостроковим зобов'язанням </w:t>
      </w:r>
      <w:r w:rsidRPr="00875D57">
        <w:rPr>
          <w:rFonts w:ascii="Times New Roman" w:hAnsi="Times New Roman"/>
          <w:sz w:val="20"/>
          <w:szCs w:val="20"/>
          <w:lang w:val="en-US"/>
        </w:rPr>
        <w:tab/>
        <w:t>57 595</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t>94 271</w:t>
      </w:r>
      <w:r w:rsidRPr="00875D57">
        <w:rPr>
          <w:rFonts w:ascii="Times New Roman" w:hAnsi="Times New Roman"/>
          <w:sz w:val="20"/>
          <w:szCs w:val="20"/>
          <w:lang w:val="en-US"/>
        </w:rPr>
        <w:tab/>
        <w:t>(77 326)</w:t>
      </w:r>
      <w:r w:rsidRPr="00875D57">
        <w:rPr>
          <w:rFonts w:ascii="Times New Roman" w:hAnsi="Times New Roman"/>
          <w:sz w:val="20"/>
          <w:szCs w:val="20"/>
          <w:lang w:val="en-US"/>
        </w:rPr>
        <w:tab/>
        <w:t>74 540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Інші поточні зобов'язання </w:t>
      </w:r>
      <w:r w:rsidRPr="00875D57">
        <w:rPr>
          <w:rFonts w:ascii="Times New Roman" w:hAnsi="Times New Roman"/>
          <w:sz w:val="20"/>
          <w:szCs w:val="20"/>
          <w:lang w:val="en-US"/>
        </w:rPr>
        <w:tab/>
        <w:t>1 470</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36 294</w:t>
      </w:r>
      <w:r w:rsidRPr="00875D57">
        <w:rPr>
          <w:rFonts w:ascii="Times New Roman" w:hAnsi="Times New Roman"/>
          <w:sz w:val="20"/>
          <w:szCs w:val="20"/>
          <w:lang w:val="en-US"/>
        </w:rPr>
        <w:tab/>
        <w:t>(30 727)</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7 593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Усього</w:t>
      </w:r>
      <w:r w:rsidRPr="00875D57">
        <w:rPr>
          <w:rFonts w:ascii="Times New Roman" w:hAnsi="Times New Roman"/>
          <w:sz w:val="20"/>
          <w:szCs w:val="20"/>
          <w:lang w:val="en-US"/>
        </w:rPr>
        <w:tab/>
        <w:t>179 450</w:t>
      </w:r>
      <w:r w:rsidRPr="00875D57">
        <w:rPr>
          <w:rFonts w:ascii="Times New Roman" w:hAnsi="Times New Roman"/>
          <w:sz w:val="20"/>
          <w:szCs w:val="20"/>
          <w:lang w:val="en-US"/>
        </w:rPr>
        <w:tab/>
        <w:t>-</w:t>
      </w:r>
      <w:r w:rsidRPr="00875D57">
        <w:rPr>
          <w:rFonts w:ascii="Times New Roman" w:hAnsi="Times New Roman"/>
          <w:sz w:val="20"/>
          <w:szCs w:val="20"/>
          <w:lang w:val="en-US"/>
        </w:rPr>
        <w:tab/>
        <w:t>-</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684 265</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(689 727)</w:t>
      </w:r>
      <w:r w:rsidRPr="00875D57">
        <w:rPr>
          <w:rFonts w:ascii="Times New Roman" w:hAnsi="Times New Roman"/>
          <w:sz w:val="20"/>
          <w:szCs w:val="20"/>
          <w:lang w:val="en-US"/>
        </w:rPr>
        <w:tab/>
        <w:t>179 321</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6.13. Поточні забезпечення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Поточні забезпечення складаються із забезпечення виплат персоналу, які включають зобов'язання з оплати відпусток працівникам, які Товариство, Компанія буде сплачувати у майбутньому при наданні відпусток, або у вигляді компенсації у разі звільнення працівників, по яким залишились невикористані відпустки.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Показник</w:t>
      </w:r>
      <w:r w:rsidRPr="00875D57">
        <w:rPr>
          <w:rFonts w:ascii="Times New Roman" w:hAnsi="Times New Roman"/>
          <w:sz w:val="20"/>
          <w:szCs w:val="20"/>
          <w:lang w:val="en-US"/>
        </w:rPr>
        <w:tab/>
        <w:t>31.12.2023</w:t>
      </w:r>
      <w:r w:rsidRPr="00875D57">
        <w:rPr>
          <w:rFonts w:ascii="Times New Roman" w:hAnsi="Times New Roman"/>
          <w:sz w:val="20"/>
          <w:szCs w:val="20"/>
          <w:lang w:val="en-US"/>
        </w:rPr>
        <w:tab/>
        <w:t>31.12.2024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Забезпечення на оплату відпусток  персоналу</w:t>
      </w:r>
      <w:r w:rsidRPr="00875D57">
        <w:rPr>
          <w:rFonts w:ascii="Times New Roman" w:hAnsi="Times New Roman"/>
          <w:sz w:val="20"/>
          <w:szCs w:val="20"/>
          <w:lang w:val="en-US"/>
        </w:rPr>
        <w:tab/>
        <w:t>383</w:t>
      </w:r>
      <w:r w:rsidRPr="00875D57">
        <w:rPr>
          <w:rFonts w:ascii="Times New Roman" w:hAnsi="Times New Roman"/>
          <w:sz w:val="20"/>
          <w:szCs w:val="20"/>
          <w:lang w:val="en-US"/>
        </w:rPr>
        <w:tab/>
        <w:t>556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w:t>
      </w:r>
      <w:r w:rsidRPr="00875D57">
        <w:rPr>
          <w:rFonts w:ascii="Times New Roman" w:hAnsi="Times New Roman"/>
          <w:sz w:val="20"/>
          <w:szCs w:val="20"/>
          <w:lang w:val="en-US"/>
        </w:rPr>
        <w:tab/>
        <w:t>РОЗКРИТТЯ ІНФОРМАЦІЇ ЩОДО ЗВІТУ ПРО ФІНАНСОВІ РЕЗУЛЬТАТИ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Всі статті доходів і витрат, визнані у звітних періодах включено до складу Звіту про фінансові результати (звіту про сукупний дохід).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7.1.   Дохід від реалізації товарів, робіт, послуг</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 xml:space="preserve"> 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Дохід від передачі у фінансовий лізинг об`єкта фінансового лізингу (вартість предмета лізингу)</w:t>
      </w:r>
      <w:r w:rsidRPr="00875D57">
        <w:rPr>
          <w:rFonts w:ascii="Times New Roman" w:hAnsi="Times New Roman"/>
          <w:sz w:val="20"/>
          <w:szCs w:val="20"/>
          <w:lang w:val="en-US"/>
        </w:rPr>
        <w:tab/>
        <w:t>426 110</w:t>
      </w:r>
      <w:r w:rsidRPr="00875D57">
        <w:rPr>
          <w:rFonts w:ascii="Times New Roman" w:hAnsi="Times New Roman"/>
          <w:sz w:val="20"/>
          <w:szCs w:val="20"/>
          <w:lang w:val="en-US"/>
        </w:rPr>
        <w:tab/>
        <w:t>240 584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Дохід від нарахованих % по виданим позикам</w:t>
      </w:r>
      <w:r w:rsidRPr="00875D57">
        <w:rPr>
          <w:rFonts w:ascii="Times New Roman" w:hAnsi="Times New Roman"/>
          <w:sz w:val="20"/>
          <w:szCs w:val="20"/>
          <w:lang w:val="en-US"/>
        </w:rPr>
        <w:tab/>
        <w:t>10 595</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436 705</w:t>
      </w:r>
      <w:r w:rsidRPr="00875D57">
        <w:rPr>
          <w:rFonts w:ascii="Times New Roman" w:hAnsi="Times New Roman"/>
          <w:sz w:val="20"/>
          <w:szCs w:val="20"/>
          <w:lang w:val="en-US"/>
        </w:rPr>
        <w:tab/>
        <w:t>240 584</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Собівартість реалізованої продукції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Собівартість реалізованої продукції  (послуг)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422 405</w:t>
      </w:r>
      <w:r w:rsidRPr="00875D57">
        <w:rPr>
          <w:rFonts w:ascii="Times New Roman" w:hAnsi="Times New Roman"/>
          <w:sz w:val="20"/>
          <w:szCs w:val="20"/>
          <w:lang w:val="en-US"/>
        </w:rPr>
        <w:tab/>
        <w:t>238 004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7.2. Інші операційні доходи</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Комісія та відсотки нараховані по договору фінансового лізингу</w:t>
      </w:r>
      <w:r w:rsidRPr="00875D57">
        <w:rPr>
          <w:rFonts w:ascii="Times New Roman" w:hAnsi="Times New Roman"/>
          <w:sz w:val="20"/>
          <w:szCs w:val="20"/>
          <w:lang w:val="en-US"/>
        </w:rPr>
        <w:tab/>
        <w:t>142 036</w:t>
      </w:r>
      <w:r w:rsidRPr="00875D57">
        <w:rPr>
          <w:rFonts w:ascii="Times New Roman" w:hAnsi="Times New Roman"/>
          <w:sz w:val="20"/>
          <w:szCs w:val="20"/>
          <w:lang w:val="en-US"/>
        </w:rPr>
        <w:tab/>
        <w:t>60 062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Штрафи, пеня</w:t>
      </w:r>
      <w:r w:rsidRPr="00875D57">
        <w:rPr>
          <w:rFonts w:ascii="Times New Roman" w:hAnsi="Times New Roman"/>
          <w:sz w:val="20"/>
          <w:szCs w:val="20"/>
          <w:lang w:val="en-US"/>
        </w:rPr>
        <w:tab/>
        <w:t>6001</w:t>
      </w:r>
      <w:r w:rsidRPr="00875D57">
        <w:rPr>
          <w:rFonts w:ascii="Times New Roman" w:hAnsi="Times New Roman"/>
          <w:sz w:val="20"/>
          <w:szCs w:val="20"/>
          <w:lang w:val="en-US"/>
        </w:rPr>
        <w:tab/>
        <w:t>788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доходи операційної діяльності</w:t>
      </w:r>
      <w:r w:rsidRPr="00875D57">
        <w:rPr>
          <w:rFonts w:ascii="Times New Roman" w:hAnsi="Times New Roman"/>
          <w:sz w:val="20"/>
          <w:szCs w:val="20"/>
          <w:lang w:val="en-US"/>
        </w:rPr>
        <w:tab/>
        <w:t>4 021</w:t>
      </w:r>
      <w:r w:rsidRPr="00875D57">
        <w:rPr>
          <w:rFonts w:ascii="Times New Roman" w:hAnsi="Times New Roman"/>
          <w:sz w:val="20"/>
          <w:szCs w:val="20"/>
          <w:lang w:val="en-US"/>
        </w:rPr>
        <w:tab/>
        <w:t>45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152 057</w:t>
      </w:r>
      <w:r w:rsidRPr="00875D57">
        <w:rPr>
          <w:rFonts w:ascii="Times New Roman" w:hAnsi="Times New Roman"/>
          <w:sz w:val="20"/>
          <w:szCs w:val="20"/>
          <w:lang w:val="en-US"/>
        </w:rPr>
        <w:tab/>
        <w:t>60 895</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7.3. Операційні витрати</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 xml:space="preserve">          </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Адміністративні витрати, в т.ч.:</w:t>
      </w:r>
      <w:r w:rsidRPr="00875D57">
        <w:rPr>
          <w:rFonts w:ascii="Times New Roman" w:hAnsi="Times New Roman"/>
          <w:sz w:val="20"/>
          <w:szCs w:val="20"/>
          <w:lang w:val="en-US"/>
        </w:rPr>
        <w:tab/>
        <w:t>45 795</w:t>
      </w:r>
      <w:r w:rsidRPr="00875D57">
        <w:rPr>
          <w:rFonts w:ascii="Times New Roman" w:hAnsi="Times New Roman"/>
          <w:sz w:val="20"/>
          <w:szCs w:val="20"/>
          <w:lang w:val="en-US"/>
        </w:rPr>
        <w:tab/>
        <w:t>18 445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на оплату праці</w:t>
      </w:r>
      <w:r w:rsidRPr="00875D57">
        <w:rPr>
          <w:rFonts w:ascii="Times New Roman" w:hAnsi="Times New Roman"/>
          <w:sz w:val="20"/>
          <w:szCs w:val="20"/>
          <w:lang w:val="en-US"/>
        </w:rPr>
        <w:tab/>
        <w:t>3 846</w:t>
      </w:r>
      <w:r w:rsidRPr="00875D57">
        <w:rPr>
          <w:rFonts w:ascii="Times New Roman" w:hAnsi="Times New Roman"/>
          <w:sz w:val="20"/>
          <w:szCs w:val="20"/>
          <w:lang w:val="en-US"/>
        </w:rPr>
        <w:tab/>
        <w:t>1 832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Відрахування на соціальні заходи</w:t>
      </w:r>
      <w:r w:rsidRPr="00875D57">
        <w:rPr>
          <w:rFonts w:ascii="Times New Roman" w:hAnsi="Times New Roman"/>
          <w:sz w:val="20"/>
          <w:szCs w:val="20"/>
          <w:lang w:val="en-US"/>
        </w:rPr>
        <w:tab/>
        <w:t>757</w:t>
      </w:r>
      <w:r w:rsidRPr="00875D57">
        <w:rPr>
          <w:rFonts w:ascii="Times New Roman" w:hAnsi="Times New Roman"/>
          <w:sz w:val="20"/>
          <w:szCs w:val="20"/>
          <w:lang w:val="en-US"/>
        </w:rPr>
        <w:tab/>
        <w:t>335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Матеріальні витрати</w:t>
      </w:r>
      <w:r w:rsidRPr="00875D57">
        <w:rPr>
          <w:rFonts w:ascii="Times New Roman" w:hAnsi="Times New Roman"/>
          <w:sz w:val="20"/>
          <w:szCs w:val="20"/>
          <w:lang w:val="en-US"/>
        </w:rPr>
        <w:tab/>
        <w:t>299</w:t>
      </w:r>
      <w:r w:rsidRPr="00875D57">
        <w:rPr>
          <w:rFonts w:ascii="Times New Roman" w:hAnsi="Times New Roman"/>
          <w:sz w:val="20"/>
          <w:szCs w:val="20"/>
          <w:lang w:val="en-US"/>
        </w:rPr>
        <w:tab/>
        <w:t>920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Винагорода за консультаційні, інформаційні, аудиторські й інші послуги</w:t>
      </w:r>
      <w:r w:rsidRPr="00875D57">
        <w:rPr>
          <w:rFonts w:ascii="Times New Roman" w:hAnsi="Times New Roman"/>
          <w:sz w:val="20"/>
          <w:szCs w:val="20"/>
          <w:lang w:val="en-US"/>
        </w:rPr>
        <w:tab/>
        <w:t>14 171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1909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Оренда приміщення</w:t>
      </w:r>
      <w:r w:rsidRPr="00875D57">
        <w:rPr>
          <w:rFonts w:ascii="Times New Roman" w:hAnsi="Times New Roman"/>
          <w:sz w:val="20"/>
          <w:szCs w:val="20"/>
          <w:lang w:val="en-US"/>
        </w:rPr>
        <w:tab/>
        <w:t>660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532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(послуги з супроводження системи охорони та моніторингу автотранспорту, загальногосподарські)</w:t>
      </w:r>
      <w:r w:rsidRPr="00875D57">
        <w:rPr>
          <w:rFonts w:ascii="Times New Roman" w:hAnsi="Times New Roman"/>
          <w:sz w:val="20"/>
          <w:szCs w:val="20"/>
          <w:lang w:val="en-US"/>
        </w:rPr>
        <w:tab/>
        <w:t>20 552</w:t>
      </w:r>
      <w:r w:rsidRPr="00875D57">
        <w:rPr>
          <w:rFonts w:ascii="Times New Roman" w:hAnsi="Times New Roman"/>
          <w:sz w:val="20"/>
          <w:szCs w:val="20"/>
          <w:lang w:val="en-US"/>
        </w:rPr>
        <w:tab/>
        <w:t>8800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адміністративні</w:t>
      </w:r>
      <w:r w:rsidRPr="00875D57">
        <w:rPr>
          <w:rFonts w:ascii="Times New Roman" w:hAnsi="Times New Roman"/>
          <w:sz w:val="20"/>
          <w:szCs w:val="20"/>
          <w:lang w:val="en-US"/>
        </w:rPr>
        <w:tab/>
        <w:t>5 510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4 117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Інші операційні витрати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84 601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36 892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Втрати від зменшення корисності фінансових інструментів (резерв очікуваних кредитних збитків) </w:t>
      </w:r>
      <w:r w:rsidRPr="00875D57">
        <w:rPr>
          <w:rFonts w:ascii="Times New Roman" w:hAnsi="Times New Roman"/>
          <w:sz w:val="20"/>
          <w:szCs w:val="20"/>
          <w:lang w:val="en-US"/>
        </w:rPr>
        <w:tab/>
        <w:t>78 340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34 837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Курсові різниці</w:t>
      </w:r>
      <w:r w:rsidRPr="00875D57">
        <w:rPr>
          <w:rFonts w:ascii="Times New Roman" w:hAnsi="Times New Roman"/>
          <w:sz w:val="20"/>
          <w:szCs w:val="20"/>
          <w:lang w:val="en-US"/>
        </w:rPr>
        <w:tab/>
        <w:t>4 933</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Інші витрати  операційної діяльності</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1 328</w:t>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2 055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130 394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55 337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7.4. ФІНАНСОВИЙ РЕЗУЛЬТАТ</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 звітний період  фінансовий результат діяльності Товариство, Компанія представлений наступним чином: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Показники</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Фінансовий результат до оподаткування прибуток (збиток) </w:t>
      </w:r>
      <w:r w:rsidRPr="00875D57">
        <w:rPr>
          <w:rFonts w:ascii="Times New Roman" w:hAnsi="Times New Roman"/>
          <w:sz w:val="20"/>
          <w:szCs w:val="20"/>
          <w:lang w:val="en-US"/>
        </w:rPr>
        <w:tab/>
        <w:t>8 186</w:t>
      </w:r>
      <w:r w:rsidRPr="00875D57">
        <w:rPr>
          <w:rFonts w:ascii="Times New Roman" w:hAnsi="Times New Roman"/>
          <w:sz w:val="20"/>
          <w:szCs w:val="20"/>
          <w:lang w:val="en-US"/>
        </w:rPr>
        <w:tab/>
        <w:t>1 999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з податку на прибуток</w:t>
      </w:r>
      <w:r w:rsidRPr="00875D57">
        <w:rPr>
          <w:rFonts w:ascii="Times New Roman" w:hAnsi="Times New Roman"/>
          <w:sz w:val="20"/>
          <w:szCs w:val="20"/>
          <w:lang w:val="en-US"/>
        </w:rPr>
        <w:tab/>
        <w:t>(1 474)</w:t>
      </w:r>
      <w:r w:rsidRPr="00875D57">
        <w:rPr>
          <w:rFonts w:ascii="Times New Roman" w:hAnsi="Times New Roman"/>
          <w:sz w:val="20"/>
          <w:szCs w:val="20"/>
          <w:lang w:val="en-US"/>
        </w:rPr>
        <w:tab/>
        <w:t>(360)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Чистий фінансовий результат</w:t>
      </w:r>
      <w:r w:rsidRPr="00875D57">
        <w:rPr>
          <w:rFonts w:ascii="Times New Roman" w:hAnsi="Times New Roman"/>
          <w:sz w:val="20"/>
          <w:szCs w:val="20"/>
          <w:lang w:val="en-US"/>
        </w:rPr>
        <w:tab/>
        <w:t>6 712</w:t>
      </w:r>
      <w:r w:rsidRPr="00875D57">
        <w:rPr>
          <w:rFonts w:ascii="Times New Roman" w:hAnsi="Times New Roman"/>
          <w:sz w:val="20"/>
          <w:szCs w:val="20"/>
          <w:lang w:val="en-US"/>
        </w:rPr>
        <w:tab/>
        <w:t>1 639</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7.5. ПОДАТОК НА ПРИБУТОК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Ставки оподаткування, які застосовувалися до Товариство, Компанія протягом звітних періодів були наступними: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 1 січня 2023р. по 31.12.2023р.   18%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 1 січня 2024р. по 31.12.2024р.   18%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Витрати по податку на прибуток, відображені в складі прибутку (збитку) в розрізі компонентів: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Показники</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Сальдо по розрахунках з податку на прибуток  на 01.01</w:t>
      </w:r>
      <w:r w:rsidRPr="00875D57">
        <w:rPr>
          <w:rFonts w:ascii="Times New Roman" w:hAnsi="Times New Roman"/>
          <w:sz w:val="20"/>
          <w:szCs w:val="20"/>
          <w:lang w:val="en-US"/>
        </w:rPr>
        <w:tab/>
        <w:t>284</w:t>
      </w:r>
      <w:r w:rsidRPr="00875D57">
        <w:rPr>
          <w:rFonts w:ascii="Times New Roman" w:hAnsi="Times New Roman"/>
          <w:sz w:val="20"/>
          <w:szCs w:val="20"/>
          <w:lang w:val="en-US"/>
        </w:rPr>
        <w:tab/>
        <w:t>77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Нараховано податку на прибуток</w:t>
      </w:r>
      <w:r w:rsidRPr="00875D57">
        <w:rPr>
          <w:rFonts w:ascii="Times New Roman" w:hAnsi="Times New Roman"/>
          <w:sz w:val="20"/>
          <w:szCs w:val="20"/>
          <w:lang w:val="en-US"/>
        </w:rPr>
        <w:tab/>
        <w:t>1474</w:t>
      </w:r>
      <w:r w:rsidRPr="00875D57">
        <w:rPr>
          <w:rFonts w:ascii="Times New Roman" w:hAnsi="Times New Roman"/>
          <w:sz w:val="20"/>
          <w:szCs w:val="20"/>
          <w:lang w:val="en-US"/>
        </w:rPr>
        <w:tab/>
        <w:t>360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Сплачено податку на прибуток за період </w:t>
      </w:r>
      <w:r w:rsidRPr="00875D57">
        <w:rPr>
          <w:rFonts w:ascii="Times New Roman" w:hAnsi="Times New Roman"/>
          <w:sz w:val="20"/>
          <w:szCs w:val="20"/>
          <w:lang w:val="en-US"/>
        </w:rPr>
        <w:tab/>
        <w:t>(1595)</w:t>
      </w:r>
      <w:r w:rsidRPr="00875D57">
        <w:rPr>
          <w:rFonts w:ascii="Times New Roman" w:hAnsi="Times New Roman"/>
          <w:sz w:val="20"/>
          <w:szCs w:val="20"/>
          <w:lang w:val="en-US"/>
        </w:rPr>
        <w:tab/>
        <w:t>(153)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Сальдо по розрахунку станом на 31.12.</w:t>
      </w:r>
      <w:r w:rsidRPr="00875D57">
        <w:rPr>
          <w:rFonts w:ascii="Times New Roman" w:hAnsi="Times New Roman"/>
          <w:sz w:val="20"/>
          <w:szCs w:val="20"/>
          <w:lang w:val="en-US"/>
        </w:rPr>
        <w:tab/>
        <w:t>163</w:t>
      </w:r>
      <w:r w:rsidRPr="00875D57">
        <w:rPr>
          <w:rFonts w:ascii="Times New Roman" w:hAnsi="Times New Roman"/>
          <w:sz w:val="20"/>
          <w:szCs w:val="20"/>
          <w:lang w:val="en-US"/>
        </w:rPr>
        <w:tab/>
        <w:t>284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зв'язку із тим, що керівництво Товариство, Компанія в порядку, передбаченому Податковим кодексом України, прийняло рішення про незастосування коригувань фінансового результату з метою оподаткування, відстрочені податки  відсутні (не розраховуються).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8.РОЗКРИТТЯ ІНФОРМАЦІЇ ЩОДО ЗВІТУ ПРО РУХ ГРОШОВИХ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КОШТІВ (ЗА ПРЯМИМ МЕТОДОМ)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Звіт грошових коштів (за прямим методом) за 2023 рік складено за вимогами МСБО 7 за прямим методом, згідно з яким розкривається інформація про основні класи валових надходжень грошових коштів чи валових виплат грошових коштів на нетто-основі. У звіті відображений рух грошових коштів від операційної, інвестиційної та фінансової діяльності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Рух коштів у результаті операційної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Операційна діяльність полягає в отриманні прибутку від звичайної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від операційної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Дохід від передачі у фінансовий лізинг об`єкта фінансового лізингу (вартість предмета лізингу)</w:t>
      </w:r>
      <w:r w:rsidRPr="00875D57">
        <w:rPr>
          <w:rFonts w:ascii="Times New Roman" w:hAnsi="Times New Roman"/>
          <w:sz w:val="20"/>
          <w:szCs w:val="20"/>
          <w:lang w:val="en-US"/>
        </w:rPr>
        <w:tab/>
        <w:t>302 363</w:t>
      </w:r>
      <w:r w:rsidRPr="00875D57">
        <w:rPr>
          <w:rFonts w:ascii="Times New Roman" w:hAnsi="Times New Roman"/>
          <w:sz w:val="20"/>
          <w:szCs w:val="20"/>
          <w:lang w:val="en-US"/>
        </w:rPr>
        <w:tab/>
        <w:t>142 948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Цільове фінансування</w:t>
      </w:r>
      <w:r w:rsidRPr="00875D57">
        <w:rPr>
          <w:rFonts w:ascii="Times New Roman" w:hAnsi="Times New Roman"/>
          <w:sz w:val="20"/>
          <w:szCs w:val="20"/>
          <w:lang w:val="en-US"/>
        </w:rPr>
        <w:tab/>
        <w:t>40</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Фінансові доходи-% по договорам лізингу </w:t>
      </w:r>
      <w:r w:rsidRPr="00875D57">
        <w:rPr>
          <w:rFonts w:ascii="Times New Roman" w:hAnsi="Times New Roman"/>
          <w:sz w:val="20"/>
          <w:szCs w:val="20"/>
          <w:lang w:val="en-US"/>
        </w:rPr>
        <w:tab/>
      </w:r>
      <w:r w:rsidRPr="00875D57">
        <w:rPr>
          <w:rFonts w:ascii="Times New Roman" w:hAnsi="Times New Roman"/>
          <w:sz w:val="20"/>
          <w:szCs w:val="20"/>
          <w:lang w:val="en-US"/>
        </w:rPr>
        <w:tab/>
        <w:t>61 414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 xml:space="preserve">Надходження від погашення прав вимог </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по отриманій фінансовій допомозі</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фін. установ від повернення позик</w:t>
      </w:r>
      <w:r w:rsidRPr="00875D57">
        <w:rPr>
          <w:rFonts w:ascii="Times New Roman" w:hAnsi="Times New Roman"/>
          <w:sz w:val="20"/>
          <w:szCs w:val="20"/>
          <w:lang w:val="en-US"/>
        </w:rPr>
        <w:tab/>
        <w:t>38 470</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w:t>
      </w: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від відсотків за залишками коштів на поточних рахунках</w:t>
      </w:r>
      <w:r w:rsidRPr="00875D57">
        <w:rPr>
          <w:rFonts w:ascii="Times New Roman" w:hAnsi="Times New Roman"/>
          <w:sz w:val="20"/>
          <w:szCs w:val="20"/>
          <w:lang w:val="en-US"/>
        </w:rPr>
        <w:tab/>
        <w:t>34</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від повернення авансів</w:t>
      </w:r>
      <w:r w:rsidRPr="00875D57">
        <w:rPr>
          <w:rFonts w:ascii="Times New Roman" w:hAnsi="Times New Roman"/>
          <w:sz w:val="20"/>
          <w:szCs w:val="20"/>
          <w:lang w:val="en-US"/>
        </w:rPr>
        <w:tab/>
        <w:t>1793</w:t>
      </w:r>
      <w:r w:rsidRPr="00875D57">
        <w:rPr>
          <w:rFonts w:ascii="Times New Roman" w:hAnsi="Times New Roman"/>
          <w:sz w:val="20"/>
          <w:szCs w:val="20"/>
          <w:lang w:val="en-US"/>
        </w:rPr>
        <w:tab/>
        <w:t>2 798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авансів від покупців</w:t>
      </w:r>
      <w:r w:rsidRPr="00875D57">
        <w:rPr>
          <w:rFonts w:ascii="Times New Roman" w:hAnsi="Times New Roman"/>
          <w:sz w:val="20"/>
          <w:szCs w:val="20"/>
          <w:lang w:val="en-US"/>
        </w:rPr>
        <w:tab/>
        <w:t>127 105</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від боржників неустойки (штрафів, пені)</w:t>
      </w:r>
      <w:r w:rsidRPr="00875D57">
        <w:rPr>
          <w:rFonts w:ascii="Times New Roman" w:hAnsi="Times New Roman"/>
          <w:sz w:val="20"/>
          <w:szCs w:val="20"/>
          <w:lang w:val="en-US"/>
        </w:rPr>
        <w:tab/>
        <w:t>33</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469 838</w:t>
      </w:r>
      <w:r w:rsidRPr="00875D57">
        <w:rPr>
          <w:rFonts w:ascii="Times New Roman" w:hAnsi="Times New Roman"/>
          <w:sz w:val="20"/>
          <w:szCs w:val="20"/>
          <w:lang w:val="en-US"/>
        </w:rPr>
        <w:tab/>
        <w:t xml:space="preserve">            207 160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r>
      <w:r w:rsidRPr="00875D57">
        <w:rPr>
          <w:rFonts w:ascii="Times New Roman" w:hAnsi="Times New Roman"/>
          <w:sz w:val="20"/>
          <w:szCs w:val="20"/>
          <w:lang w:val="en-US"/>
        </w:rPr>
        <w:tab/>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(видатки)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Показник </w:t>
      </w: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Витрачання на надання кредитів </w:t>
      </w:r>
      <w:r w:rsidRPr="00875D57">
        <w:rPr>
          <w:rFonts w:ascii="Times New Roman" w:hAnsi="Times New Roman"/>
          <w:sz w:val="20"/>
          <w:szCs w:val="20"/>
          <w:lang w:val="en-US"/>
        </w:rPr>
        <w:tab/>
        <w:t>(61 349)</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Витрачання на сплату фінансування по договорам факторингу </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оплату авансів</w:t>
      </w:r>
      <w:r w:rsidRPr="00875D57">
        <w:rPr>
          <w:rFonts w:ascii="Times New Roman" w:hAnsi="Times New Roman"/>
          <w:sz w:val="20"/>
          <w:szCs w:val="20"/>
          <w:lang w:val="en-US"/>
        </w:rPr>
        <w:tab/>
        <w:t>(12 108)</w:t>
      </w:r>
      <w:r w:rsidRPr="00875D57">
        <w:rPr>
          <w:rFonts w:ascii="Times New Roman" w:hAnsi="Times New Roman"/>
          <w:sz w:val="20"/>
          <w:szCs w:val="20"/>
          <w:lang w:val="en-US"/>
        </w:rPr>
        <w:tab/>
        <w:t>(284)</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повернення авансів</w:t>
      </w:r>
      <w:r w:rsidRPr="00875D57">
        <w:rPr>
          <w:rFonts w:ascii="Times New Roman" w:hAnsi="Times New Roman"/>
          <w:sz w:val="20"/>
          <w:szCs w:val="20"/>
          <w:lang w:val="en-US"/>
        </w:rPr>
        <w:tab/>
        <w:t>-</w:t>
      </w:r>
      <w:r w:rsidRPr="00875D57">
        <w:rPr>
          <w:rFonts w:ascii="Times New Roman" w:hAnsi="Times New Roman"/>
          <w:sz w:val="20"/>
          <w:szCs w:val="20"/>
          <w:lang w:val="en-US"/>
        </w:rPr>
        <w:tab/>
        <w:t>(228)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оплату товарів та послуг</w:t>
      </w:r>
      <w:r w:rsidRPr="00875D57">
        <w:rPr>
          <w:rFonts w:ascii="Times New Roman" w:hAnsi="Times New Roman"/>
          <w:sz w:val="20"/>
          <w:szCs w:val="20"/>
          <w:lang w:val="en-US"/>
        </w:rPr>
        <w:tab/>
        <w:t>(449 301)</w:t>
      </w:r>
      <w:r w:rsidRPr="00875D57">
        <w:rPr>
          <w:rFonts w:ascii="Times New Roman" w:hAnsi="Times New Roman"/>
          <w:sz w:val="20"/>
          <w:szCs w:val="20"/>
          <w:lang w:val="en-US"/>
        </w:rPr>
        <w:tab/>
        <w:t>(271 319)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на зарплату з податками</w:t>
      </w:r>
      <w:r w:rsidRPr="00875D57">
        <w:rPr>
          <w:rFonts w:ascii="Times New Roman" w:hAnsi="Times New Roman"/>
          <w:sz w:val="20"/>
          <w:szCs w:val="20"/>
          <w:lang w:val="en-US"/>
        </w:rPr>
        <w:tab/>
        <w:t>(5 108)</w:t>
      </w:r>
      <w:r w:rsidRPr="00875D57">
        <w:rPr>
          <w:rFonts w:ascii="Times New Roman" w:hAnsi="Times New Roman"/>
          <w:sz w:val="20"/>
          <w:szCs w:val="20"/>
          <w:lang w:val="en-US"/>
        </w:rPr>
        <w:tab/>
        <w:t>(1 551)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 на сплату податків</w:t>
      </w:r>
      <w:r w:rsidRPr="00875D57">
        <w:rPr>
          <w:rFonts w:ascii="Times New Roman" w:hAnsi="Times New Roman"/>
          <w:sz w:val="20"/>
          <w:szCs w:val="20"/>
          <w:lang w:val="en-US"/>
        </w:rPr>
        <w:tab/>
        <w:t>(1 594)</w:t>
      </w:r>
      <w:r w:rsidRPr="00875D57">
        <w:rPr>
          <w:rFonts w:ascii="Times New Roman" w:hAnsi="Times New Roman"/>
          <w:sz w:val="20"/>
          <w:szCs w:val="20"/>
          <w:lang w:val="en-US"/>
        </w:rPr>
        <w:tab/>
        <w:t>(2 028)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Витрати-сплата пенсійного внеску при купівлі авто</w:t>
      </w:r>
      <w:r w:rsidRPr="00875D57">
        <w:rPr>
          <w:rFonts w:ascii="Times New Roman" w:hAnsi="Times New Roman"/>
          <w:sz w:val="20"/>
          <w:szCs w:val="20"/>
          <w:lang w:val="en-US"/>
        </w:rPr>
        <w:tab/>
        <w:t>(2 086)</w:t>
      </w:r>
      <w:r w:rsidRPr="00875D57">
        <w:rPr>
          <w:rFonts w:ascii="Times New Roman" w:hAnsi="Times New Roman"/>
          <w:sz w:val="20"/>
          <w:szCs w:val="20"/>
          <w:lang w:val="en-US"/>
        </w:rPr>
        <w:tab/>
        <w:t>(199)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витрати</w:t>
      </w:r>
      <w:r w:rsidRPr="00875D57">
        <w:rPr>
          <w:rFonts w:ascii="Times New Roman" w:hAnsi="Times New Roman"/>
          <w:sz w:val="20"/>
          <w:szCs w:val="20"/>
          <w:lang w:val="en-US"/>
        </w:rPr>
        <w:tab/>
        <w:t>(7 858)</w:t>
      </w:r>
      <w:r w:rsidRPr="00875D57">
        <w:rPr>
          <w:rFonts w:ascii="Times New Roman" w:hAnsi="Times New Roman"/>
          <w:sz w:val="20"/>
          <w:szCs w:val="20"/>
          <w:lang w:val="en-US"/>
        </w:rPr>
        <w:tab/>
        <w:t>(512)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(539 404)</w:t>
      </w:r>
      <w:r w:rsidRPr="00875D57">
        <w:rPr>
          <w:rFonts w:ascii="Times New Roman" w:hAnsi="Times New Roman"/>
          <w:sz w:val="20"/>
          <w:szCs w:val="20"/>
          <w:lang w:val="en-US"/>
        </w:rPr>
        <w:tab/>
        <w:t>(276 121)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Чистий рух коштів від операційної діяльності</w:t>
      </w:r>
      <w:r w:rsidRPr="00875D57">
        <w:rPr>
          <w:rFonts w:ascii="Times New Roman" w:hAnsi="Times New Roman"/>
          <w:sz w:val="20"/>
          <w:szCs w:val="20"/>
          <w:lang w:val="en-US"/>
        </w:rPr>
        <w:tab/>
        <w:t>(69 566)</w:t>
      </w:r>
      <w:r w:rsidRPr="00875D57">
        <w:rPr>
          <w:rFonts w:ascii="Times New Roman" w:hAnsi="Times New Roman"/>
          <w:sz w:val="20"/>
          <w:szCs w:val="20"/>
          <w:lang w:val="en-US"/>
        </w:rPr>
        <w:tab/>
        <w:t>(68 961)</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Рух коштів в результаті інвестиційної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Надходження в результаті реалізації фінансової інвестиції </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Надходження від погашення позик</w:t>
      </w:r>
      <w:r w:rsidRPr="00875D57">
        <w:rPr>
          <w:rFonts w:ascii="Times New Roman" w:hAnsi="Times New Roman"/>
          <w:sz w:val="20"/>
          <w:szCs w:val="20"/>
          <w:lang w:val="en-US"/>
        </w:rPr>
        <w:tab/>
        <w:t>-</w:t>
      </w:r>
      <w:r w:rsidRPr="00875D57">
        <w:rPr>
          <w:rFonts w:ascii="Times New Roman" w:hAnsi="Times New Roman"/>
          <w:sz w:val="20"/>
          <w:szCs w:val="20"/>
          <w:lang w:val="en-US"/>
        </w:rPr>
        <w:tab/>
        <w:t>31 057</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надання позик</w:t>
      </w:r>
      <w:r w:rsidRPr="00875D57">
        <w:rPr>
          <w:rFonts w:ascii="Times New Roman" w:hAnsi="Times New Roman"/>
          <w:sz w:val="20"/>
          <w:szCs w:val="20"/>
          <w:lang w:val="en-US"/>
        </w:rPr>
        <w:tab/>
        <w:t>-</w:t>
      </w:r>
      <w:r w:rsidRPr="00875D57">
        <w:rPr>
          <w:rFonts w:ascii="Times New Roman" w:hAnsi="Times New Roman"/>
          <w:sz w:val="20"/>
          <w:szCs w:val="20"/>
          <w:lang w:val="en-US"/>
        </w:rPr>
        <w:tab/>
        <w:t>(70 620)</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придбання фін. інвестицій</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придбання необоротних активів</w:t>
      </w:r>
      <w:r w:rsidRPr="00875D57">
        <w:rPr>
          <w:rFonts w:ascii="Times New Roman" w:hAnsi="Times New Roman"/>
          <w:sz w:val="20"/>
          <w:szCs w:val="20"/>
          <w:lang w:val="en-US"/>
        </w:rPr>
        <w:tab/>
        <w:t>-</w:t>
      </w:r>
      <w:r w:rsidRPr="00875D57">
        <w:rPr>
          <w:rFonts w:ascii="Times New Roman" w:hAnsi="Times New Roman"/>
          <w:sz w:val="20"/>
          <w:szCs w:val="20"/>
          <w:lang w:val="en-US"/>
        </w:rPr>
        <w:tab/>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w:t>
      </w:r>
      <w:r w:rsidRPr="00875D57">
        <w:rPr>
          <w:rFonts w:ascii="Times New Roman" w:hAnsi="Times New Roman"/>
          <w:sz w:val="20"/>
          <w:szCs w:val="20"/>
          <w:lang w:val="en-US"/>
        </w:rPr>
        <w:tab/>
        <w:t>(39 563)</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Рух коштів у результаті фінансової  діяльності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ab/>
        <w:t>2024 рік</w:t>
      </w:r>
      <w:r w:rsidRPr="00875D57">
        <w:rPr>
          <w:rFonts w:ascii="Times New Roman" w:hAnsi="Times New Roman"/>
          <w:sz w:val="20"/>
          <w:szCs w:val="20"/>
          <w:lang w:val="en-US"/>
        </w:rPr>
        <w:tab/>
        <w:t>2023 рік</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Отримання позик </w:t>
      </w:r>
      <w:r w:rsidRPr="00875D57">
        <w:rPr>
          <w:rFonts w:ascii="Times New Roman" w:hAnsi="Times New Roman"/>
          <w:sz w:val="20"/>
          <w:szCs w:val="20"/>
          <w:lang w:val="en-US"/>
        </w:rPr>
        <w:tab/>
        <w:t>199 973</w:t>
      </w:r>
      <w:r w:rsidRPr="00875D57">
        <w:rPr>
          <w:rFonts w:ascii="Times New Roman" w:hAnsi="Times New Roman"/>
          <w:sz w:val="20"/>
          <w:szCs w:val="20"/>
          <w:lang w:val="en-US"/>
        </w:rPr>
        <w:tab/>
        <w:t>149 228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Погашення позик</w:t>
      </w:r>
      <w:r w:rsidRPr="00875D57">
        <w:rPr>
          <w:rFonts w:ascii="Times New Roman" w:hAnsi="Times New Roman"/>
          <w:sz w:val="20"/>
          <w:szCs w:val="20"/>
          <w:lang w:val="en-US"/>
        </w:rPr>
        <w:tab/>
        <w:t>(122 943)</w:t>
      </w:r>
      <w:r w:rsidRPr="00875D57">
        <w:rPr>
          <w:rFonts w:ascii="Times New Roman" w:hAnsi="Times New Roman"/>
          <w:sz w:val="20"/>
          <w:szCs w:val="20"/>
          <w:lang w:val="en-US"/>
        </w:rPr>
        <w:tab/>
        <w:t>(29 751)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Витрачання на сплату відсотків</w:t>
      </w:r>
      <w:r w:rsidRPr="00875D57">
        <w:rPr>
          <w:rFonts w:ascii="Times New Roman" w:hAnsi="Times New Roman"/>
          <w:sz w:val="20"/>
          <w:szCs w:val="20"/>
          <w:lang w:val="en-US"/>
        </w:rPr>
        <w:tab/>
        <w:t>(26 172)</w:t>
      </w:r>
      <w:r w:rsidRPr="00875D57">
        <w:rPr>
          <w:rFonts w:ascii="Times New Roman" w:hAnsi="Times New Roman"/>
          <w:sz w:val="20"/>
          <w:szCs w:val="20"/>
          <w:lang w:val="en-US"/>
        </w:rPr>
        <w:tab/>
        <w:t>(1 799)</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платежі</w:t>
      </w:r>
      <w:r w:rsidRPr="00875D57">
        <w:rPr>
          <w:rFonts w:ascii="Times New Roman" w:hAnsi="Times New Roman"/>
          <w:sz w:val="20"/>
          <w:szCs w:val="20"/>
          <w:lang w:val="en-US"/>
        </w:rPr>
        <w:tab/>
      </w:r>
      <w:r w:rsidRPr="00875D57">
        <w:rPr>
          <w:rFonts w:ascii="Times New Roman" w:hAnsi="Times New Roman"/>
          <w:sz w:val="20"/>
          <w:szCs w:val="20"/>
          <w:lang w:val="en-US"/>
        </w:rPr>
        <w:tab/>
        <w:t>(5 592)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64 658</w:t>
      </w:r>
      <w:r w:rsidRPr="00875D57">
        <w:rPr>
          <w:rFonts w:ascii="Times New Roman" w:hAnsi="Times New Roman"/>
          <w:sz w:val="20"/>
          <w:szCs w:val="20"/>
          <w:lang w:val="en-US"/>
        </w:rPr>
        <w:tab/>
        <w:t>112 086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 результаті діяльності в фінансовій звітності Товариство, Компанія за звітний період з 01.01.2023 по 31.12.2023 року, чистий рух грошових коштів за звітний період склав: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Показники                                                                                                                                                                               </w:t>
      </w:r>
      <w:r w:rsidRPr="00875D57">
        <w:rPr>
          <w:rFonts w:ascii="Times New Roman" w:hAnsi="Times New Roman"/>
          <w:sz w:val="20"/>
          <w:szCs w:val="20"/>
          <w:lang w:val="en-US"/>
        </w:rPr>
        <w:tab/>
        <w:t>2024</w:t>
      </w:r>
      <w:r w:rsidRPr="00875D57">
        <w:rPr>
          <w:rFonts w:ascii="Times New Roman" w:hAnsi="Times New Roman"/>
          <w:sz w:val="20"/>
          <w:szCs w:val="20"/>
          <w:lang w:val="en-US"/>
        </w:rPr>
        <w:tab/>
        <w:t>2023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Чистий рух коштів за звітний період</w:t>
      </w:r>
      <w:r w:rsidRPr="00875D57">
        <w:rPr>
          <w:rFonts w:ascii="Times New Roman" w:hAnsi="Times New Roman"/>
          <w:sz w:val="20"/>
          <w:szCs w:val="20"/>
          <w:lang w:val="en-US"/>
        </w:rPr>
        <w:tab/>
        <w:t>(4 908)</w:t>
      </w:r>
      <w:r w:rsidRPr="00875D57">
        <w:rPr>
          <w:rFonts w:ascii="Times New Roman" w:hAnsi="Times New Roman"/>
          <w:sz w:val="20"/>
          <w:szCs w:val="20"/>
          <w:lang w:val="en-US"/>
        </w:rPr>
        <w:tab/>
        <w:t>3562</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Залишок коштів на початок року</w:t>
      </w:r>
      <w:r w:rsidRPr="00875D57">
        <w:rPr>
          <w:rFonts w:ascii="Times New Roman" w:hAnsi="Times New Roman"/>
          <w:sz w:val="20"/>
          <w:szCs w:val="20"/>
          <w:lang w:val="en-US"/>
        </w:rPr>
        <w:tab/>
        <w:t>5 266</w:t>
      </w:r>
      <w:r w:rsidRPr="00875D57">
        <w:rPr>
          <w:rFonts w:ascii="Times New Roman" w:hAnsi="Times New Roman"/>
          <w:sz w:val="20"/>
          <w:szCs w:val="20"/>
          <w:lang w:val="en-US"/>
        </w:rPr>
        <w:tab/>
        <w:t>1 703</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Вплив зміни валютних курсів</w:t>
      </w:r>
      <w:r w:rsidRPr="00875D57">
        <w:rPr>
          <w:rFonts w:ascii="Times New Roman" w:hAnsi="Times New Roman"/>
          <w:sz w:val="20"/>
          <w:szCs w:val="20"/>
          <w:lang w:val="en-US"/>
        </w:rPr>
        <w:tab/>
        <w:t>556</w:t>
      </w:r>
      <w:r w:rsidRPr="00875D57">
        <w:rPr>
          <w:rFonts w:ascii="Times New Roman" w:hAnsi="Times New Roman"/>
          <w:sz w:val="20"/>
          <w:szCs w:val="20"/>
          <w:lang w:val="en-US"/>
        </w:rPr>
        <w:tab/>
        <w:t>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ЗАЛИШОК КОШТІВ НА КІНЕЦЬ РОКУ</w:t>
      </w:r>
      <w:r w:rsidRPr="00875D57">
        <w:rPr>
          <w:rFonts w:ascii="Times New Roman" w:hAnsi="Times New Roman"/>
          <w:sz w:val="20"/>
          <w:szCs w:val="20"/>
          <w:lang w:val="en-US"/>
        </w:rPr>
        <w:tab/>
        <w:t>914</w:t>
      </w:r>
      <w:r w:rsidRPr="00875D57">
        <w:rPr>
          <w:rFonts w:ascii="Times New Roman" w:hAnsi="Times New Roman"/>
          <w:sz w:val="20"/>
          <w:szCs w:val="20"/>
          <w:lang w:val="en-US"/>
        </w:rPr>
        <w:tab/>
        <w:t>5 266</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9.</w:t>
      </w:r>
      <w:r w:rsidRPr="00875D57">
        <w:rPr>
          <w:rFonts w:ascii="Times New Roman" w:hAnsi="Times New Roman"/>
          <w:sz w:val="20"/>
          <w:szCs w:val="20"/>
          <w:lang w:val="en-US"/>
        </w:rPr>
        <w:tab/>
        <w:t>Розкриття інформації щодо звіту про власний капітал</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Статутний капітал Товариство, Компанія  станом на 31.12.2024 року склав 18 896 тис. грн. , на 31.12.2023 року складав 5 096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 звіті про власний капітал Товариство, Компанія відображає рух власного капіталу у розрізі складових капіталу, визнаного до МСФЗ.</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Капітал Товариства має наступну структуру: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Складові структури капіталу</w:t>
      </w:r>
      <w:r w:rsidRPr="00875D57">
        <w:rPr>
          <w:rFonts w:ascii="Times New Roman" w:hAnsi="Times New Roman"/>
          <w:sz w:val="20"/>
          <w:szCs w:val="20"/>
          <w:lang w:val="en-US"/>
        </w:rPr>
        <w:tab/>
        <w:t xml:space="preserve">Станом на 31.12.2024 р., </w:t>
      </w:r>
      <w:r w:rsidRPr="00875D57">
        <w:rPr>
          <w:rFonts w:ascii="Times New Roman" w:hAnsi="Times New Roman"/>
          <w:sz w:val="20"/>
          <w:szCs w:val="20"/>
          <w:lang w:val="en-US"/>
        </w:rPr>
        <w:tab/>
        <w:t xml:space="preserve">Станом на 31.12.2023 р.,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Зареєстрований капітал</w:t>
      </w:r>
      <w:r w:rsidRPr="00875D57">
        <w:rPr>
          <w:rFonts w:ascii="Times New Roman" w:hAnsi="Times New Roman"/>
          <w:sz w:val="20"/>
          <w:szCs w:val="20"/>
          <w:lang w:val="en-US"/>
        </w:rPr>
        <w:tab/>
        <w:t>18 896</w:t>
      </w:r>
      <w:r w:rsidRPr="00875D57">
        <w:rPr>
          <w:rFonts w:ascii="Times New Roman" w:hAnsi="Times New Roman"/>
          <w:sz w:val="20"/>
          <w:szCs w:val="20"/>
          <w:lang w:val="en-US"/>
        </w:rPr>
        <w:tab/>
        <w:t>5 096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Нерозподілений прибуток (непокритий збиток)</w:t>
      </w:r>
      <w:r w:rsidRPr="00875D57">
        <w:rPr>
          <w:rFonts w:ascii="Times New Roman" w:hAnsi="Times New Roman"/>
          <w:sz w:val="20"/>
          <w:szCs w:val="20"/>
          <w:lang w:val="en-US"/>
        </w:rPr>
        <w:tab/>
        <w:t>9 450</w:t>
      </w:r>
      <w:r w:rsidRPr="00875D57">
        <w:rPr>
          <w:rFonts w:ascii="Times New Roman" w:hAnsi="Times New Roman"/>
          <w:sz w:val="20"/>
          <w:szCs w:val="20"/>
          <w:lang w:val="en-US"/>
        </w:rPr>
        <w:tab/>
        <w:t>2 738</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Всього</w:t>
      </w:r>
      <w:r w:rsidRPr="00875D57">
        <w:rPr>
          <w:rFonts w:ascii="Times New Roman" w:hAnsi="Times New Roman"/>
          <w:sz w:val="20"/>
          <w:szCs w:val="20"/>
          <w:lang w:val="en-US"/>
        </w:rPr>
        <w:tab/>
        <w:t>28 346</w:t>
      </w:r>
      <w:r w:rsidRPr="00875D57">
        <w:rPr>
          <w:rFonts w:ascii="Times New Roman" w:hAnsi="Times New Roman"/>
          <w:sz w:val="20"/>
          <w:szCs w:val="20"/>
          <w:lang w:val="en-US"/>
        </w:rPr>
        <w:tab/>
        <w:t>7 834</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31.12.2024 року Статутний капітал ТОВАРИСТВА З ОБМЕЖЕНОЮ ВІДПОВІДАЛЬНІСТЮ "А-ФІНАНС" сформовано за рахунок грошових коштів, що підтверджується первинними документами,  в розмірі 18 896 тис. грн. 00 коп., що становить 100% від заявленого.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10.</w:t>
      </w:r>
      <w:r w:rsidRPr="00875D57">
        <w:rPr>
          <w:rFonts w:ascii="Times New Roman" w:hAnsi="Times New Roman"/>
          <w:sz w:val="20"/>
          <w:szCs w:val="20"/>
          <w:lang w:val="en-US"/>
        </w:rPr>
        <w:tab/>
        <w:t>ОПЕРАЦІЇ З ПОВ'ЯЗАНИМИ  СТОРОНАМИ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Зв'язаними  вважають сторони, одна з яких має можливість контролювати іншу або здійснювати суттєвий вплив на прийняття фінансових та операційних рішень іншою стороною, як це визначено в МСБО 24 "Розкриття інформації щодо зв'язаних сторін". Рішення про те, які сторони являються зв'язаними приймають не тільки на основі їх юридичної форми, але і виходячи з характеру стосунків зв'язаними сторін.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зв'язаних сторін Товариство, Компанія відносяться учасники Товариство, Компанія, кінцеві бенефіціарні власники та управлінський персонал.</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Учасник Товариство, Компанія, частка в статутному капіталі - 100 % є ТОВ "Інвест Діл Груп". Код ЄДРПОУ: 43044931;</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кінцевий бенефіціарний власник (контролер) ТОВ "Інвест Діл Груп" - Гончарук Андрій Васильович, непрямий вирішальний вплив.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Директор за період з 01.01.2024 по 31.12.2024 р.  - Мороз Олександр Тимофійович.</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Операції, що відбувались з пов'язаними сторонами протягом 2024 року.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Протягом   року 2024 р. нарахована та виплачена заробітна плата Директору Морозу Олександру Тимофійовичу у сумі 205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Кредиторська заборгованість за договорами фінансової допомоги від Гончарук Андрія Васильовича станом на 31.12.2023 р.- 3 849 572,85грн., і погашена  станом 31.12.2024 р- 0 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11.</w:t>
      </w:r>
      <w:r w:rsidRPr="00875D57">
        <w:rPr>
          <w:rFonts w:ascii="Times New Roman" w:hAnsi="Times New Roman"/>
          <w:sz w:val="20"/>
          <w:szCs w:val="20"/>
          <w:lang w:val="en-US"/>
        </w:rPr>
        <w:tab/>
        <w:t>ФАКТИЧНІ ТА ПОТЕНЦІЙНІ ФІНАНСОВІ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Податкова система</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Податкове, валютне та митне законодавство України часто змінюється, тому може тлумачитися по-різному. Відповідні органи можуть не погодитися з тлумаченням цього законодавства керівництвом Товариство, Компанія у зв'язку з діяльністю Товариство, Компанія та операціями в рамках цієї діяльності. Внаслідок цього може існувати значна невизначеність щодо забезпечення або тлумачення нового законодавства та нечіткі або відсутні правила його виконання. Податкові органи України можуть займати більш агресивну позицію у своєму тлумаченні законодавства та проведенні податкових перевірок, застосовуючи досить складний підхід. Ці фактори у поєднанні із зусиллями податкових органів, спрямованими на збільшення податкових надходжень у відповідь на зростання бюджетного тиску, можуть призвести до зростання рівня та частоти податкових перевірок, тому існує можливість, що операції та діяльність, які раніше не заперечувались, можуть бути оскаржені. У результаті можуть бути нараховані додаткові суттєві суми податків, штрафів та пені. Відповідні органи можуть проводити податкові перевірки у фінансових періодах протягом трьох календарних років після їх закінчення. За певних обставин перевірка може стосуватися довших періодів. Наслідки таких перевірок з боку податкових органів не можуть бути оцінені з достатнім ступенем надійності, проте вони можуть бути суттєвими для фінансового стану та діяльності організації в цілому.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Юридичні зобов'язання, судові позови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 процесі діяльності Товариство, Компанія перебуває постійно в судових позовах. Як юристи Товариство, Компанія висувають претензії до боржників на стягнення заборгованості по придбаним вимогам, так і контрагенти висувають зустрічні претензії на визнання правочинів не дійсними. Юридичний відділ  постійно проводить аналіз стану судових справ. Забезпечення (резерв) по судовим позовам створюється лише з врахуванням можливого програшу справі заявленої матеріальної та моральної шкоди.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12.УПРАВЛІННЯ РИЗИКАМИ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Управління ризиками відіграє важливу роль у господарській діяльності Товариство, Компанія. Загальна програма управління ризиками Товариство, Компанія направлена на фінансові ризики, а також на операційні та юридичні ризики.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Головним завданням управління фінансовими ризиками Товариство, Компанія є приведення своєї діяльності у відповідність установленим чинним законодавством України критеріям та нормативам платоспроможності, якості активів, ризикованості операцій та ліквідності для забезпечення стабільної діяльності, а також запобіганням можливим втратам капіталу через ризики, що притаманні діяльності фінансових установ. Управління операційними та юридичними ризиками забезпечує належне дотримання внутрішніх регламентів та процедур з метою їх мінімізації. Опис політики управління ризиками Товариство, Компанія по відношенню до основних видів ризиків, характерних для даного звітного періоду, представлено нижче. В сформованій ситуації керівництво вживає належних заходів для забезпечення діяльності Товариство, Компанія. Протягом року Товариство, Компанія не здійснювало торгових операцій з сумнівними фінансовими інструментами.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Справедлива вартість фінансових активів і фінансових зобов'язань станом на 31 грудня 2024 року дорівнює їх балансовій вартості.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ФІНАНСОВІ РИЗИКИ.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Загальний фінансовий ризик (ризик банкрутства) - ризик неможливості продовження діяльності підприємства, який може виникнути при погіршенні фінансового стану Товариство, Компанія, якості його активів, структури </w:t>
      </w:r>
      <w:r w:rsidRPr="00875D57">
        <w:rPr>
          <w:rFonts w:ascii="Times New Roman" w:hAnsi="Times New Roman"/>
          <w:sz w:val="20"/>
          <w:szCs w:val="20"/>
          <w:lang w:val="en-US"/>
        </w:rPr>
        <w:lastRenderedPageBreak/>
        <w:t>капіталу, при виникненні збитків від його діяльності внаслідок перевищення витрат над доходами.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Ринковий ризик - ризик виникнення фінансових втрат (збитків), які пов'язані з несприятливою зміною ринкової вартості фінансових інструментів у зв'язку з коливаннями цін на сегментах фінансового ринку, чутливих до зміни відсоткових ставок: ринку  дорогоцінних металів,  валютному ринку і товарному ринку.  Метою управління ринковим ризиком є управління та контроль за збереженням рівня ринкового ризику в прийнятих межах з одночасно оптимізацією прибутковості по операціях.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Ринковий ризик включає:</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процентний ризик. Товариство, Компанія зазнає впливу коливань переважних рівнів ринкових процентних ставок на свій фінансовий стан та грошові потоки. Процентна маржа може збільшуватись в результаті таких змін, але може й зменшуватись або призводити до збитків у разі виникнення несподіваних змін.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інший ціновий ризик - це ризик того, що справедлива вартість або майбутні грошові потоки від фінансового інструмента коливатимуться внаслідок змін ринкових цін  незалежно від того, чи спричинені вони чинниками, характерними для окремого фінансового інструмента або його емітента, чи чинниками, що впливають на всі подібні фінансові інструменти, з якими здійснюються операції на ринку.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Основним методом оцінки цінового та процентного ризику є аналіз чутливості.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Ризик процентної ставки.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наражається на ризик у зв'язку із впливом коливань рівнів ринкової процентної ставки на його фінансовий стан та грошові потоки. Процентна маржа може збільшуватися в результаті таких змін, але може також зменшуватися або приносити збитки в разі несподіваних змін. Товариство, Компанія не розкриває у примітках оцінку можливих коливань відсоткових ставок у зв'язку із тим, що частка депозиту у активах Товариство, Компанія незначна, а значить відхилення також можливе лише у незначних розмірах.</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Кредитний ризик - ризик виникнення у Товариство, Компанія фінансових втрат (збитків) внаслідок невиконання в повному обсязі або неповного виконання контрагентом своїх фінансових зобов'язань перед Товариство, Компанія відповідно до умов договору. Розмір збитків у цьому випадку пов'язаний із сумою невиконаного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Управління кредитним ризиком, що пов'язаний із покупцями, здійснюється кожною бізнес-одиницею у відповідності до політики, процедур та системі контролю, встановленими Товариства по відношенню до управління кредитними ризиками, що пов'язані із покупцями.  Основним методом оцінки кредитних ризиків керівництвом Товариство, Компанія є оцінка кредитоспроможності контрагентів, для чого використовуються кредитні рейтинги та будь-яка інша доступна інформація щодо їх спроможності виконувати боргові зобов'язання.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Ризик ліквідності - ризик виникнення збитків у Товариство, Компанія у зв'язку з неможливістю своєчасного виконання ним в повному обсязі своїх фінансових зобов'язань, не зазнавши при цьому неприйнятних втрат, внаслідок відсутності достатнього обсягу високоліквідних активів. Ризик ліквідності існує тоді, коли існує розбіжність у строках виплат за активами і зобов'язаннями. Товариство, Компанія здійснює управління ліквідністю з метою забезпечення постійної наявності коштів, необхідних для виконання усіх зобов'язань у визначені терміни. Політики ліквідності Товариство, Компанія перевіряється і затверджується управлінським персоналом.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не використовує похідні фінансові інструменти для управління ризиками, що виникають внаслідок зміни процентних ставок, а також кредитного ризику та ризику ліквідності.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не приймало участі в будь-яких операціях з використанням похідних фінансових інструментів. Загальна програма управління ризиками направлена на відстежування динаміки фінансового ринку України і зменшення його потенційного негативного впливу на результати діяльності Товариство, Компанія.</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ОПЕРАЦІЙНІ РИЗИКИ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Операційний ризик включає наступні: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правовий ризик - наявний або потенційний ризик виникнення збитків, повної або часткової втрати активів, пов'язаний з недотриманням Товариство, Компанія вимог законодавства, договірних зобов'язань, а також з недостатньою правовою захищеністю Товариство, Компанія або з правовими помилками, яких припускається Товариство, Компанія при провадженні професійної діяльності;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інформаційно-технологічний ризик - наявний або потенційний ризик виникнення збитків, повної або часткової втрати активів, пов'язаний з недосконалою роботою інформаційних технологій, систем та процесів обробки інформації або з їх недостатнім захистом, включаючи збій у роботі програмного та/або технічного забезпечення, обладнання, інформаційних систем, засобів комунікації та зв'язку, порушення цілісності даних та носіїв інформації, несанкціонований доступ до інформації сторонніх осіб та інше;</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ризик персоналу - наявний або потенційний ризик виникнення збитків, повної або часткової втрати активів, пов'язаний з діями або бездіяльністю працівників Товариство, Компанія (людським фактором), включаючи допущення помилки при проведенні операції, здійснення неправомірних операцій, пов'язане з недостатньою кваліфікацією або із зловживанням персоналу, перевищення повноважень, розголошення інсайдерської та/або конфіденційної інформації та інше;</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ІНШІ НЕФІНАНСОВІ РИЗИКИ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 інших нефінансових ризиків діяльності Товариство, Компанія відносяться: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w:t>
      </w:r>
      <w:r w:rsidRPr="00875D57">
        <w:rPr>
          <w:rFonts w:ascii="Times New Roman" w:hAnsi="Times New Roman"/>
          <w:sz w:val="20"/>
          <w:szCs w:val="20"/>
          <w:lang w:val="en-US"/>
        </w:rPr>
        <w:tab/>
        <w:t>стратегічний ризик - ризик виникнення збитків, які пов'язані з прийняттям неефективних управлінських рішень, помилками, які були допущені під час їх прийняття, а також з неналежною реалізацією рішень, що визначають стратегію діяльності та розвитку Товариство, Компанія;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ризик втрати ділової репутації (репутаційний ризик) - ризик виникнення збитків, пов'язаних зі зменшенням кількості клієнтів  Товариство, Компанія через виникнення у суспільстві несприятливого сприйняття Товариство, Компанія, зокрема його фінансової стійкості, якості послуг, що надаються Товариство, Компанія, або його діяльності в цілому, який може бути наслідком реалізації інших ризиків;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ризик настання форс-мажорних обставин - ризик виникнення збитків, повної або часткової втрати активів, через настання невідворотних обставин, у тому числі обставин непереборної сили, що неможливо передбачити, які призводять або створюють передумови для виникнення збоїв у роботі Товариство, Компанія або безпосередньо перешкоджають її нормальному функціонуванню.</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Товариство, Компанія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 Незважаючи на визнання наявності вказаних ризиків, керівництво Товариства  вважає малоймовірною загрозу припинення діяльності Товариство, Компанія внаслідок настання вказаних подій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13.УПРАВЛІННЯ КАПІТАЛОМ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Компанія розглядає  власний капітал як основне джерело формування фінансових ресурсів. Завданнями управління капіталом є: забезпечення здатності Товариство, Компанія продовжувати функціонувати як підприємство, що постійно діє, з метою отримання прибутків, а також забезпечення фінансування операційних потреб, капіталовкладень і стратегії розвитку Товариство, Компанія. Політика Товариство, Компанія по управлінню капіталом направлена на забезпечення і підтримку його оптимальної структури.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Управлінський персонал Товариство, Компанія здійснює огляд структури капіталу на кінець кожного звітного періоду. При цьому проводиться аналіз вартості капіталу, його структура та можливі ризики. Система управління капіталом може коригуватись з урахуванням змін в операційному середовищі, тенденціях ринку або стратегії розвитку.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Товариство здійснює управління капіталом з метою досягнення наступних цілей: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зберегти спроможність Товариство, Компанія продовжувати свою діяльність так, щоб воно і надалі забезпечувало дохід для учасників Товариство, Компанія та виплати іншим зацікавленим сторонам;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забезпечити належний прибуток учасникам Товариство, Компанія завдяки отриманню доходу Товариство, Компанія, що відповідають рівню ризику;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 xml:space="preserve"> дотримання вимог до капіталу, встановлених регулятором.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Керівництво здійснює огляд структури капіталу на постійній основі та вважає, що загальна сума капіталу, управління яким здійснюється, дорівнює сумі капіталу,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відображеного в балансі (звіті про фінансовий стан) Товариство, Компанія.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31 грудня 2023 року та на 31 грудня 2024 року капітал Товариство, Компанія відповідає нормативу мінімально допустимого власного капіталу для фінансових компаній, які мають дві і більше ліцензій.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Найменування</w:t>
      </w:r>
      <w:r w:rsidRPr="00875D57">
        <w:rPr>
          <w:rFonts w:ascii="Times New Roman" w:hAnsi="Times New Roman"/>
          <w:sz w:val="20"/>
          <w:szCs w:val="20"/>
          <w:lang w:val="en-US"/>
        </w:rPr>
        <w:tab/>
        <w:t>Мінімально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допустимий розмір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капіталу на дату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реєстрації, тис. грн.</w:t>
      </w:r>
      <w:r w:rsidRPr="00875D57">
        <w:rPr>
          <w:rFonts w:ascii="Times New Roman" w:hAnsi="Times New Roman"/>
          <w:sz w:val="20"/>
          <w:szCs w:val="20"/>
          <w:lang w:val="en-US"/>
        </w:rPr>
        <w:tab/>
        <w:t>Капітал станом на 31.12.24р.,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тис. грн.</w:t>
      </w:r>
      <w:r w:rsidRPr="00875D57">
        <w:rPr>
          <w:rFonts w:ascii="Times New Roman" w:hAnsi="Times New Roman"/>
          <w:sz w:val="20"/>
          <w:szCs w:val="20"/>
          <w:lang w:val="en-US"/>
        </w:rPr>
        <w:tab/>
        <w:t>Капітал станом на 31.12.23р.,</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тис. грн.</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Статутний капітал</w:t>
      </w:r>
      <w:r w:rsidRPr="00875D57">
        <w:rPr>
          <w:rFonts w:ascii="Times New Roman" w:hAnsi="Times New Roman"/>
          <w:sz w:val="20"/>
          <w:szCs w:val="20"/>
          <w:lang w:val="en-US"/>
        </w:rPr>
        <w:tab/>
        <w:t>5 000</w:t>
      </w:r>
      <w:r w:rsidRPr="00875D57">
        <w:rPr>
          <w:rFonts w:ascii="Times New Roman" w:hAnsi="Times New Roman"/>
          <w:sz w:val="20"/>
          <w:szCs w:val="20"/>
          <w:lang w:val="en-US"/>
        </w:rPr>
        <w:tab/>
        <w:t>18 896</w:t>
      </w:r>
      <w:r w:rsidRPr="00875D57">
        <w:rPr>
          <w:rFonts w:ascii="Times New Roman" w:hAnsi="Times New Roman"/>
          <w:sz w:val="20"/>
          <w:szCs w:val="20"/>
          <w:lang w:val="en-US"/>
        </w:rPr>
        <w:tab/>
        <w:t>5 096</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Власний капітал</w:t>
      </w:r>
      <w:r w:rsidRPr="00875D57">
        <w:rPr>
          <w:rFonts w:ascii="Times New Roman" w:hAnsi="Times New Roman"/>
          <w:sz w:val="20"/>
          <w:szCs w:val="20"/>
          <w:lang w:val="en-US"/>
        </w:rPr>
        <w:tab/>
        <w:t>5 000</w:t>
      </w:r>
      <w:r w:rsidRPr="00875D57">
        <w:rPr>
          <w:rFonts w:ascii="Times New Roman" w:hAnsi="Times New Roman"/>
          <w:sz w:val="20"/>
          <w:szCs w:val="20"/>
          <w:lang w:val="en-US"/>
        </w:rPr>
        <w:tab/>
        <w:t>28 346</w:t>
      </w:r>
      <w:r w:rsidRPr="00875D57">
        <w:rPr>
          <w:rFonts w:ascii="Times New Roman" w:hAnsi="Times New Roman"/>
          <w:sz w:val="20"/>
          <w:szCs w:val="20"/>
          <w:lang w:val="en-US"/>
        </w:rPr>
        <w:tab/>
        <w:t>7 834</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Розкриття інформації, що вимагається п.135 а іі) МСБО 1 "Подання фінансової звітності": на Товариство, Компанія поширюються зовнішні вимоги до капіталу. Відповідно до Постанови Національного банку України  № 192 "Про затвердження Положення про пруденційні вимоги до фінансових компаній"  від 27.12.2023 року (надалі - Постанова НБУ №192) власний капітал фінансової компанії, до ліцензії якої включено право на надання одного (єдиного) виду фінансових послуг, є достатнім, якщо його розмір не менший ніж: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"…3) 10 мільйонів гривень - для надання коштів та банківських металів у кредит або факторингу, або фінансового лізингу…"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30.06.2024 року власний капітал Товариство, Компанія складає 25 423 тис. грн., що свідчить про дотримання зовнішніх вимог до капіталу Товариство, Компанія у відповідності до постанови НБУ  № 192 "Про затвердження Положення про пруденційні вимоги до фінансових компаній".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Розкриття інформації, що вимагається п.135 г) МСБО 1 "Подання фінансової звітності": протягом звітного періоду ТОВ "ФК"А-ФІНАНС" виконано всі зовнішні вимоги стосовно капіталу, що поширюються на Товариство, Компанія у відповідності до вимог регулятора  Національного банку України. Також станом на 31.12.2024 року власний капітал Товариство, Компанія складає 28 346 тис.грн.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Розкриття інформації, що вимагається п.135 ґ) МСБО 1 "Подання фінансової звітності": ТОВ "ФК"А-ФІНАНС" виконало всі зовнішні вимоги стосовно капіталу,  наслідки такого невиконання - відсутні.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14.УМОВНІ ЗОБОВ'ЯЗАННЯ ТА УМОВНІ АКТИВИ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Дотримання податкового законодавства України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Українське законодавство та нормативні акти, що регулюють сферу оподаткування та інші аспекти діяльності підприємств, у тому числі валютний контроль, митні вимоги та трансфертне ціноутворення, продовжують змінюватися. Положення законів і нормативних документів найчастіше є нечіткими, й їхнє тлумачення залежить від позиції місцевих, регіональних і державних органів та інших урядових інститутів. Випадки різних тлумачень законодавства не є поодинокими. Керівництво вважає, що його тлумачення відповідного законодавства є правильним, і що діяльність Товариство, Компанія здійснюється в повній відповідності до законодавства, а також що Товариство, Компанія нарахувало та сплатило всі необхідні податки.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Загалом, існує ризик того, що операції та коректність тлумачень, які не були оскаржені регулюючими органами у минулому, будуть поставлені під сумнів у майбутньому. Однак цей ризик суттєво зменшується з часом.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Судові позови</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Станом на 31.12.2024 року у Товариство, Компанія а відсутні судові справи які мають суттєвий вплив на  існуючий та майбутній фінансовий стан підприємства.</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15.Плани щодо безперервної діяльності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Цю фінансову звітність підготовлено на основі припущення щодо здатності  продовжувати свою діяльність на безперервній основі, що передбачає реалізацію активів і погашення зобов'язань під час звичайної господарської діяльності.  Управлінський персонал  Товариство, Компанія не має  намірів або  потреби ліквідовуватися, чи суттєво звужувати масштаби діяльності.   </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Однак, станом на  дату складання цієї фінансової звітності існує непередбачуваність  та невизначеність щодо можливих наслідків впливу воєнної агресії, оскільки з 24 лютого 2022 року в Україні розпочалась воєнна агресія російської федерації. При проведенні оцінки здатності Товариство, Компанія продовжувати діяльність безперервно управлінський персонал врахував всю доступну інформацію за звітний період та  після закінчення звітного періоду до дати випуску фінансової звітності. На підставі здійсненого аналізу наявної інформації та подій, управлінський персонал вважає, що Товариство, Компанія може продовжувати свою діяльність на безперервній у зв'язку з наступним:</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галузь діяльності компанії не зазнала значного негативного впливу у зв'язку з розпочатою воєнною агресією російської федерації;</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Товариство, Компанія не було втрачено основного ринку та ключових клієнтів;</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доходи компанії та грошові надходження від операційної діяльності в 2024 році не зазнали суттєвого зниження;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протягом 2024 року і до дати затвердження фінансової звітності не відбулось значного скорочення персоналу;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вартість активів, що використовуються для генерування грошових потоків суттєво не зменшилась;</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Товариство, Компанія має достатньо грошових коштів для виконання поточних зобов'язань та дотримання боргових угод;</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стратегія та бізнес-модель Товариство, Компанія є ефективними та конкурентоспроможними;</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w:t>
      </w:r>
      <w:r w:rsidRPr="00875D57">
        <w:rPr>
          <w:rFonts w:ascii="Times New Roman" w:hAnsi="Times New Roman"/>
          <w:sz w:val="20"/>
          <w:szCs w:val="20"/>
          <w:lang w:val="en-US"/>
        </w:rPr>
        <w:tab/>
        <w:t>створена система управління ризиками дозволяє  своєчасно виявляти і оцінювати ризики та  вживати адекватні  заходи щодо їх зниження;</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Керівництво вважає, що підготовка наведеної фінансової звітності на основі припущення щодо здатності продовжувати свою діяльність на безперервній основі є прийнятною та доречною. </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16. ПОДІЇ ПІСЛЯ ДАТИ БАЛАНСУ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Відповідно до засад, визначених МСБО 10 щодо подій після дати балансу, події що потребують коригування активів та зобов'язань Товариство, Компанія - відсутні.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З 24 лютого 2022 року в Україні розпочалась воєнна агресія російської федерації;  запроваджено воєнний стан - тобто особливий правовий режим, що вводиться у разі загрози національній безпеці.  Управлінським персоналом Товариства було  детально проаналізовано ризики, притаманні діяльності Товариство, Компанія, у тому числі  - ризики, пов'язані з подіями після звітної дати, зокрема загрозу військової агресії з боку російської федерації.</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 xml:space="preserve"> Подія після 31.12.2024 року</w:t>
      </w:r>
      <w:r w:rsidRPr="00875D57">
        <w:rPr>
          <w:rFonts w:ascii="Times New Roman" w:hAnsi="Times New Roman"/>
          <w:sz w:val="20"/>
          <w:szCs w:val="20"/>
          <w:lang w:val="en-US"/>
        </w:rPr>
        <w:tab/>
        <w:t>Оцінка управлінського персоналу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 з'явилися нові зобов'язання, нові позики або нові гарантії</w:t>
      </w:r>
      <w:r w:rsidRPr="00875D57">
        <w:rPr>
          <w:rFonts w:ascii="Times New Roman" w:hAnsi="Times New Roman"/>
          <w:sz w:val="20"/>
          <w:szCs w:val="20"/>
          <w:lang w:val="en-US"/>
        </w:rPr>
        <w:tab/>
        <w:t>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 були будь-які активи відчужені урядом або знищені, наприклад через пожежу або повінь</w:t>
      </w:r>
      <w:r w:rsidRPr="00875D57">
        <w:rPr>
          <w:rFonts w:ascii="Times New Roman" w:hAnsi="Times New Roman"/>
          <w:sz w:val="20"/>
          <w:szCs w:val="20"/>
          <w:lang w:val="en-US"/>
        </w:rPr>
        <w:tab/>
        <w:t>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 були зроблені або чи передбачаються будь-які незвичайні облікові коригування</w:t>
      </w:r>
      <w:r w:rsidRPr="00875D57">
        <w:rPr>
          <w:rFonts w:ascii="Times New Roman" w:hAnsi="Times New Roman"/>
          <w:sz w:val="20"/>
          <w:szCs w:val="20"/>
          <w:lang w:val="en-US"/>
        </w:rPr>
        <w:tab/>
        <w:t>ні</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Чи планує Товариство, Компанія продовжувати діяльність на безперервній основі</w:t>
      </w:r>
      <w:r w:rsidRPr="00875D57">
        <w:rPr>
          <w:rFonts w:ascii="Times New Roman" w:hAnsi="Times New Roman"/>
          <w:sz w:val="20"/>
          <w:szCs w:val="20"/>
          <w:lang w:val="en-US"/>
        </w:rPr>
        <w:tab/>
        <w:t>так</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Несприятливими подіями після дати балансу до дати затвердження фінансової звітності Товариство, Компанія  є нестабільна політична та економічна ситуація в Україні, що призвело до знецінення національної валюти, подорожчання матеріалів, робіт та послуг, зниження платоспроможності фізичних і юридичних осіб тощо.</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lastRenderedPageBreak/>
        <w:t>Незважаючи на визнання наявності вказаних ризиків, керівництво Товариство, Компанія  вважає малоймовірною загрозу припинення діяльності Товариство, Компанія внаслідок настання вказаних подій.</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При складанні фінансової звітності Товариство, Компанія враховує події, що відбуваються після звітної дати і відображає їх у фінансовій звітності відповідно до МСБО (IAS) 10 "Події після звітного періоду".</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Події після звітної дати до дати затвердження фінансового звіту до випуску</w:t>
      </w: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Після дати балансу та до моменту затвердження фінансової звітності не відбувалось подій, які б згідно з положеннями МСБО 10 потребували коригувань показників фінансової звітності.</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Директор</w:t>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r>
      <w:r w:rsidRPr="00875D57">
        <w:rPr>
          <w:rFonts w:ascii="Times New Roman" w:hAnsi="Times New Roman"/>
          <w:sz w:val="20"/>
          <w:szCs w:val="20"/>
          <w:lang w:val="en-US"/>
        </w:rPr>
        <w:tab/>
        <w:t>Мороз О.Т.</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en-US"/>
        </w:rPr>
      </w:pPr>
      <w:r w:rsidRPr="00875D57">
        <w:rPr>
          <w:rFonts w:ascii="Times New Roman" w:hAnsi="Times New Roman"/>
          <w:sz w:val="20"/>
          <w:szCs w:val="20"/>
          <w:lang w:val="en-US"/>
        </w:rPr>
        <w:t>Головний бухгалтер                                    Тимошенко В.В.</w:t>
      </w:r>
    </w:p>
    <w:p w:rsidR="00875D57" w:rsidRPr="00875D57" w:rsidRDefault="00875D57" w:rsidP="00875D57">
      <w:pPr>
        <w:spacing w:after="0" w:line="240" w:lineRule="auto"/>
        <w:rPr>
          <w:rFonts w:ascii="Times New Roman" w:hAnsi="Times New Roman"/>
          <w:sz w:val="20"/>
          <w:szCs w:val="20"/>
          <w:lang w:val="en-US"/>
        </w:rPr>
      </w:pPr>
    </w:p>
    <w:p w:rsidR="00875D57" w:rsidRPr="00875D57" w:rsidRDefault="00875D57" w:rsidP="00875D57">
      <w:pPr>
        <w:spacing w:after="0" w:line="240" w:lineRule="auto"/>
        <w:rPr>
          <w:rFonts w:ascii="Times New Roman" w:hAnsi="Times New Roman"/>
          <w:sz w:val="20"/>
          <w:szCs w:val="20"/>
          <w:lang w:val="ru-RU"/>
        </w:rPr>
      </w:pPr>
    </w:p>
    <w:p w:rsidR="007F31AE" w:rsidRDefault="007F31AE"/>
    <w:sectPr w:rsidR="007F31AE" w:rsidSect="00875D57">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FC0" w:rsidRDefault="001D5FC0" w:rsidP="00875D57">
      <w:pPr>
        <w:spacing w:after="0" w:line="240" w:lineRule="auto"/>
      </w:pPr>
      <w:r>
        <w:separator/>
      </w:r>
    </w:p>
  </w:endnote>
  <w:endnote w:type="continuationSeparator" w:id="0">
    <w:p w:rsidR="001D5FC0" w:rsidRDefault="001D5FC0" w:rsidP="00875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rsidP="00B137F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end"/>
    </w:r>
  </w:p>
  <w:p w:rsidR="00875D57" w:rsidRDefault="00875D57" w:rsidP="00875D5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rsidP="00B137FB">
    <w:pPr>
      <w:pStyle w:val="a6"/>
      <w:framePr w:wrap="around" w:vAnchor="text" w:hAnchor="margin" w:xAlign="right" w:y="1"/>
      <w:rPr>
        <w:rStyle w:val="a8"/>
      </w:rPr>
    </w:pPr>
    <w:r>
      <w:rPr>
        <w:rStyle w:val="a8"/>
      </w:rPr>
      <w:fldChar w:fldCharType="begin"/>
    </w:r>
    <w:r>
      <w:rPr>
        <w:rStyle w:val="a8"/>
      </w:rPr>
      <w:instrText xml:space="preserve"> PAGE </w:instrText>
    </w:r>
    <w:r>
      <w:rPr>
        <w:rStyle w:val="a8"/>
      </w:rPr>
      <w:fldChar w:fldCharType="separate"/>
    </w:r>
    <w:r w:rsidR="005A28F3">
      <w:rPr>
        <w:rStyle w:val="a8"/>
        <w:noProof/>
      </w:rPr>
      <w:t>1</w:t>
    </w:r>
    <w:r>
      <w:rPr>
        <w:rStyle w:val="a8"/>
      </w:rPr>
      <w:fldChar w:fldCharType="end"/>
    </w:r>
  </w:p>
  <w:p w:rsidR="00875D57" w:rsidRDefault="00875D57" w:rsidP="00875D57">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FC0" w:rsidRDefault="001D5FC0" w:rsidP="00875D57">
      <w:pPr>
        <w:spacing w:after="0" w:line="240" w:lineRule="auto"/>
      </w:pPr>
      <w:r>
        <w:separator/>
      </w:r>
    </w:p>
  </w:footnote>
  <w:footnote w:type="continuationSeparator" w:id="0">
    <w:p w:rsidR="001D5FC0" w:rsidRDefault="001D5FC0" w:rsidP="00875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57" w:rsidRDefault="00875D5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57"/>
    <w:rsid w:val="001D5FC0"/>
    <w:rsid w:val="005A28F3"/>
    <w:rsid w:val="007F31AE"/>
    <w:rsid w:val="008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E60EE-1D6F-4AC7-B745-58114C9A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D57"/>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875D57"/>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875D57"/>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875D57"/>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875D57"/>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875D57"/>
    <w:pPr>
      <w:tabs>
        <w:tab w:val="right" w:leader="underscore" w:pos="7710"/>
        <w:tab w:val="right" w:leader="underscore" w:pos="11514"/>
      </w:tabs>
      <w:ind w:firstLine="0"/>
    </w:pPr>
  </w:style>
  <w:style w:type="paragraph" w:customStyle="1" w:styleId="StrokeCh6">
    <w:name w:val="Stroke (Ch_6 Міністерства)"/>
    <w:basedOn w:val="a"/>
    <w:uiPriority w:val="99"/>
    <w:rsid w:val="00875D57"/>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875D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875D57"/>
  </w:style>
  <w:style w:type="paragraph" w:styleId="a4">
    <w:name w:val="header"/>
    <w:basedOn w:val="a"/>
    <w:link w:val="a5"/>
    <w:uiPriority w:val="99"/>
    <w:unhideWhenUsed/>
    <w:rsid w:val="00875D57"/>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875D57"/>
    <w:rPr>
      <w:rFonts w:ascii="Calibri" w:eastAsia="Times New Roman" w:hAnsi="Calibri" w:cs="Times New Roman"/>
      <w:lang w:val="uk-UA" w:eastAsia="uk-UA"/>
    </w:rPr>
  </w:style>
  <w:style w:type="paragraph" w:styleId="a6">
    <w:name w:val="footer"/>
    <w:basedOn w:val="a"/>
    <w:link w:val="a7"/>
    <w:uiPriority w:val="99"/>
    <w:unhideWhenUsed/>
    <w:rsid w:val="00875D57"/>
    <w:pPr>
      <w:tabs>
        <w:tab w:val="center" w:pos="4844"/>
        <w:tab w:val="right" w:pos="9689"/>
      </w:tabs>
      <w:spacing w:after="0" w:line="240" w:lineRule="auto"/>
    </w:pPr>
  </w:style>
  <w:style w:type="character" w:customStyle="1" w:styleId="a7">
    <w:name w:val="Нижний колонтитул Знак"/>
    <w:basedOn w:val="a0"/>
    <w:link w:val="a6"/>
    <w:uiPriority w:val="99"/>
    <w:rsid w:val="00875D57"/>
    <w:rPr>
      <w:rFonts w:ascii="Calibri" w:eastAsia="Times New Roman" w:hAnsi="Calibri" w:cs="Times New Roman"/>
      <w:lang w:val="uk-UA" w:eastAsia="uk-UA"/>
    </w:rPr>
  </w:style>
  <w:style w:type="character" w:styleId="a8">
    <w:name w:val="page number"/>
    <w:basedOn w:val="a0"/>
    <w:uiPriority w:val="99"/>
    <w:semiHidden/>
    <w:unhideWhenUsed/>
    <w:rsid w:val="00875D57"/>
  </w:style>
  <w:style w:type="paragraph" w:styleId="10">
    <w:name w:val="toc 1"/>
    <w:basedOn w:val="a"/>
    <w:next w:val="a"/>
    <w:autoRedefine/>
    <w:uiPriority w:val="39"/>
    <w:unhideWhenUsed/>
    <w:rsid w:val="00875D57"/>
    <w:pPr>
      <w:spacing w:after="100"/>
    </w:pPr>
  </w:style>
  <w:style w:type="character" w:styleId="a9">
    <w:name w:val="Hyperlink"/>
    <w:basedOn w:val="a0"/>
    <w:uiPriority w:val="99"/>
    <w:unhideWhenUsed/>
    <w:rsid w:val="00875D5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35012</Words>
  <Characters>199575</Characters>
  <Application>Microsoft Office Word</Application>
  <DocSecurity>0</DocSecurity>
  <Lines>1663</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2</cp:revision>
  <dcterms:created xsi:type="dcterms:W3CDTF">2025-10-27T07:34:00Z</dcterms:created>
  <dcterms:modified xsi:type="dcterms:W3CDTF">2025-10-27T07:34:00Z</dcterms:modified>
</cp:coreProperties>
</file>