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65" w:type="pct"/>
        <w:jc w:val="center"/>
        <w:tblCellMar>
          <w:left w:w="0" w:type="dxa"/>
          <w:right w:w="0" w:type="dxa"/>
        </w:tblCellMar>
        <w:tblLook w:val="05E0" w:firstRow="1" w:lastRow="1" w:firstColumn="1" w:lastColumn="1" w:noHBand="0" w:noVBand="1"/>
      </w:tblPr>
      <w:tblGrid>
        <w:gridCol w:w="5321"/>
        <w:gridCol w:w="4730"/>
      </w:tblGrid>
      <w:tr w:rsidR="00471C91" w:rsidRPr="00471C91" w14:paraId="6E20F6EA" w14:textId="77777777" w:rsidTr="00471C91">
        <w:trPr>
          <w:trHeight w:val="1528"/>
          <w:jc w:val="center"/>
        </w:trPr>
        <w:tc>
          <w:tcPr>
            <w:tcW w:w="2647" w:type="pct"/>
            <w:tcMar>
              <w:top w:w="0" w:type="dxa"/>
              <w:left w:w="0" w:type="dxa"/>
              <w:bottom w:w="0" w:type="dxa"/>
              <w:right w:w="0" w:type="dxa"/>
            </w:tcMar>
          </w:tcPr>
          <w:p w14:paraId="5D9B07DB" w14:textId="77777777" w:rsidR="00471C91" w:rsidRPr="00471C91" w:rsidRDefault="00471C91" w:rsidP="00471C91">
            <w:pPr>
              <w:pStyle w:val="rvps14"/>
              <w:spacing w:before="150" w:after="150"/>
              <w:rPr>
                <w:rStyle w:val="spanrvts0"/>
                <w:lang w:val="uk" w:eastAsia="uk"/>
              </w:rPr>
            </w:pPr>
          </w:p>
        </w:tc>
        <w:tc>
          <w:tcPr>
            <w:tcW w:w="2353" w:type="pct"/>
            <w:tcMar>
              <w:top w:w="0" w:type="dxa"/>
              <w:left w:w="0" w:type="dxa"/>
              <w:bottom w:w="0" w:type="dxa"/>
              <w:right w:w="0" w:type="dxa"/>
            </w:tcMar>
            <w:hideMark/>
          </w:tcPr>
          <w:p w14:paraId="1F893773" w14:textId="77777777" w:rsidR="00471C91" w:rsidRPr="002225D2" w:rsidRDefault="002225D2" w:rsidP="002225D2">
            <w:pPr>
              <w:pStyle w:val="rvps14"/>
              <w:spacing w:before="150" w:after="150"/>
              <w:rPr>
                <w:rStyle w:val="spanrvts0"/>
                <w:sz w:val="20"/>
                <w:szCs w:val="20"/>
                <w:lang w:val="uk" w:eastAsia="uk"/>
              </w:rPr>
            </w:pPr>
            <w:r w:rsidRPr="002225D2">
              <w:rPr>
                <w:rStyle w:val="spanrvts0"/>
                <w:sz w:val="20"/>
                <w:szCs w:val="20"/>
                <w:lang w:val="uk" w:eastAsia="uk"/>
              </w:rPr>
              <w:t xml:space="preserve">Додаток 4 </w:t>
            </w:r>
            <w:r w:rsidRPr="002225D2">
              <w:rPr>
                <w:rStyle w:val="spanrvts0"/>
                <w:sz w:val="20"/>
                <w:szCs w:val="20"/>
                <w:lang w:val="uk" w:eastAsia="uk"/>
              </w:rPr>
              <w:br/>
              <w:t xml:space="preserve">до Положення про розкриття інформації емітентами цінних паперів, а також особами, які надають </w:t>
            </w:r>
            <w:r w:rsidRPr="002225D2">
              <w:rPr>
                <w:rStyle w:val="spanrvts0"/>
                <w:sz w:val="20"/>
                <w:szCs w:val="20"/>
                <w:lang w:val="uk" w:eastAsia="uk"/>
              </w:rPr>
              <w:br/>
              <w:t xml:space="preserve">забезпечення за такими цінними паперами </w:t>
            </w:r>
            <w:r w:rsidRPr="002225D2">
              <w:rPr>
                <w:rStyle w:val="spanrvts0"/>
                <w:sz w:val="20"/>
                <w:szCs w:val="20"/>
                <w:lang w:val="uk" w:eastAsia="uk"/>
              </w:rPr>
              <w:br/>
              <w:t>(пункт 24)</w:t>
            </w:r>
          </w:p>
        </w:tc>
      </w:tr>
    </w:tbl>
    <w:p w14:paraId="01AD5B6F" w14:textId="77777777" w:rsidR="00471C91" w:rsidRDefault="00471C91" w:rsidP="00471C91">
      <w:pPr>
        <w:pStyle w:val="rvps7"/>
        <w:spacing w:before="150" w:after="150"/>
        <w:ind w:left="450" w:right="450"/>
        <w:rPr>
          <w:rStyle w:val="spanrvts0"/>
          <w:lang w:val="uk" w:eastAsia="uk"/>
        </w:rPr>
      </w:pPr>
      <w:r>
        <w:rPr>
          <w:rStyle w:val="spanrvts15"/>
          <w:lang w:val="uk" w:eastAsia="uk"/>
        </w:rPr>
        <w:t xml:space="preserve">ПОВІДОМЛЕННЯ </w:t>
      </w:r>
      <w:r>
        <w:rPr>
          <w:rStyle w:val="spanrvts15"/>
          <w:lang w:val="uk" w:eastAsia="uk"/>
        </w:rPr>
        <w:br/>
      </w:r>
      <w:r w:rsidR="002225D2">
        <w:rPr>
          <w:rStyle w:val="spanrvts15"/>
          <w:lang w:val="uk" w:eastAsia="uk"/>
        </w:rPr>
        <w:t>про розкриття недостовірної регульованої інформації</w:t>
      </w:r>
    </w:p>
    <w:tbl>
      <w:tblPr>
        <w:tblW w:w="5000" w:type="pct"/>
        <w:jc w:val="center"/>
        <w:tblLayout w:type="fixed"/>
        <w:tblCellMar>
          <w:top w:w="15" w:type="dxa"/>
          <w:left w:w="15" w:type="dxa"/>
          <w:bottom w:w="15" w:type="dxa"/>
          <w:right w:w="15" w:type="dxa"/>
        </w:tblCellMar>
        <w:tblLook w:val="05E0" w:firstRow="1" w:lastRow="1" w:firstColumn="1" w:lastColumn="1" w:noHBand="0" w:noVBand="1"/>
      </w:tblPr>
      <w:tblGrid>
        <w:gridCol w:w="3912"/>
        <w:gridCol w:w="466"/>
        <w:gridCol w:w="12"/>
        <w:gridCol w:w="5516"/>
      </w:tblGrid>
      <w:tr w:rsidR="00471C91" w14:paraId="16886319"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72995E81" w14:textId="77777777" w:rsidR="00471C91" w:rsidRPr="0005596A" w:rsidRDefault="00471C91" w:rsidP="00471C91">
            <w:pPr>
              <w:pStyle w:val="rvps14"/>
              <w:spacing w:before="150" w:after="150"/>
              <w:rPr>
                <w:rStyle w:val="spanrvts0"/>
                <w:b/>
                <w:lang w:val="uk" w:eastAsia="uk"/>
              </w:rPr>
            </w:pPr>
            <w:r w:rsidRPr="0005596A">
              <w:rPr>
                <w:rStyle w:val="spanrvts0"/>
                <w:b/>
                <w:lang w:val="uk" w:eastAsia="uk"/>
              </w:rPr>
              <w:t xml:space="preserve">Повне найменування </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00CB6904" w14:textId="697F84C7" w:rsidR="00471C91" w:rsidRPr="00AC525F" w:rsidRDefault="00B42780" w:rsidP="00471C91">
            <w:pPr>
              <w:pStyle w:val="rvps14"/>
              <w:spacing w:before="150" w:after="150"/>
              <w:rPr>
                <w:rStyle w:val="spanrvts0"/>
                <w:lang w:eastAsia="uk"/>
              </w:rPr>
            </w:pPr>
            <w:r>
              <w:rPr>
                <w:rStyle w:val="spanrvts0"/>
                <w:lang w:eastAsia="uk"/>
              </w:rPr>
              <w:t>ТОВАРИСТВО З ОБМЕЖЕНОЮ ВІДПОВІДАЛЬНІСТЮ "ФІНАНСОВА КОМПАНІЯ "А-ФІНАНС"</w:t>
            </w:r>
          </w:p>
        </w:tc>
      </w:tr>
      <w:tr w:rsidR="00471C91" w14:paraId="63B6993F"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094E62BE" w14:textId="77777777" w:rsidR="00471C91" w:rsidRPr="0005596A" w:rsidRDefault="00471C91" w:rsidP="00471C91">
            <w:pPr>
              <w:pStyle w:val="rvps14"/>
              <w:spacing w:before="150" w:after="150"/>
              <w:rPr>
                <w:rStyle w:val="spanrvts0"/>
                <w:b/>
                <w:lang w:val="uk" w:eastAsia="uk"/>
              </w:rPr>
            </w:pPr>
            <w:r w:rsidRPr="0005596A">
              <w:rPr>
                <w:rStyle w:val="spanrvts0"/>
                <w:b/>
                <w:lang w:val="uk" w:eastAsia="uk"/>
              </w:rPr>
              <w:t>Ідентифікаційний код юридичної особи</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1F2EDBE5" w14:textId="4A362A44" w:rsidR="00471C91" w:rsidRPr="0005596A" w:rsidRDefault="00B42780" w:rsidP="0005596A">
            <w:pPr>
              <w:pStyle w:val="rvps14"/>
              <w:spacing w:before="150" w:after="150"/>
              <w:rPr>
                <w:rStyle w:val="spanrvts0"/>
                <w:lang w:eastAsia="uk"/>
              </w:rPr>
            </w:pPr>
            <w:r>
              <w:rPr>
                <w:rStyle w:val="spanrvts0"/>
                <w:lang w:eastAsia="uk"/>
              </w:rPr>
              <w:t>43064717</w:t>
            </w:r>
          </w:p>
        </w:tc>
      </w:tr>
      <w:tr w:rsidR="00471C91" w14:paraId="5BC37CFB"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F21FF28" w14:textId="77777777" w:rsidR="00471C91" w:rsidRPr="0005596A" w:rsidRDefault="00471C91" w:rsidP="00471C91">
            <w:pPr>
              <w:pStyle w:val="rvps14"/>
              <w:spacing w:before="150" w:after="150"/>
              <w:rPr>
                <w:rStyle w:val="spanrvts0"/>
                <w:b/>
                <w:lang w:val="uk" w:eastAsia="uk"/>
              </w:rPr>
            </w:pPr>
            <w:r w:rsidRPr="0005596A">
              <w:rPr>
                <w:rStyle w:val="spanrvts0"/>
                <w:b/>
                <w:lang w:val="uk" w:eastAsia="uk"/>
              </w:rPr>
              <w:t>Дата складання повідомлення</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06468E08" w14:textId="75B0603A" w:rsidR="00471C91" w:rsidRPr="0005596A" w:rsidRDefault="00B42780" w:rsidP="00471C91">
            <w:pPr>
              <w:pStyle w:val="rvps14"/>
              <w:spacing w:before="150" w:after="150"/>
              <w:rPr>
                <w:rStyle w:val="spanrvts0"/>
                <w:lang w:eastAsia="uk"/>
              </w:rPr>
            </w:pPr>
            <w:r>
              <w:rPr>
                <w:rStyle w:val="spanrvts0"/>
                <w:lang w:eastAsia="uk"/>
              </w:rPr>
              <w:t>27.10.2025</w:t>
            </w:r>
          </w:p>
        </w:tc>
      </w:tr>
      <w:tr w:rsidR="00EF5DC4" w:rsidRPr="00471C91" w14:paraId="7EC294DF"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759E8C3C" w14:textId="77777777" w:rsidR="00EF5DC4" w:rsidRPr="0005596A" w:rsidRDefault="00EF5DC4" w:rsidP="00EF5DC4">
            <w:pPr>
              <w:pStyle w:val="rvps14"/>
              <w:rPr>
                <w:rStyle w:val="spanrvts0"/>
                <w:b/>
                <w:lang w:val="uk" w:eastAsia="uk"/>
              </w:rPr>
            </w:pPr>
            <w:r w:rsidRPr="0005596A">
              <w:rPr>
                <w:rStyle w:val="spanrvts0"/>
                <w:b/>
                <w:lang w:val="uk" w:eastAsia="uk"/>
              </w:rPr>
              <w:t>Особа, яка розкриває інформацію</w:t>
            </w:r>
          </w:p>
        </w:tc>
        <w:tc>
          <w:tcPr>
            <w:tcW w:w="235" w:type="pct"/>
            <w:tcBorders>
              <w:top w:val="single" w:sz="6" w:space="0" w:color="000000"/>
              <w:left w:val="single" w:sz="6" w:space="0" w:color="000000"/>
              <w:bottom w:val="single" w:sz="6" w:space="0" w:color="000000"/>
            </w:tcBorders>
            <w:tcMar>
              <w:top w:w="22" w:type="dxa"/>
              <w:left w:w="57" w:type="dxa"/>
              <w:bottom w:w="22" w:type="dxa"/>
              <w:right w:w="22" w:type="dxa"/>
            </w:tcMar>
            <w:hideMark/>
          </w:tcPr>
          <w:p w14:paraId="5E76DEF1" w14:textId="2450D149" w:rsidR="00EF5DC4" w:rsidRPr="00471C91" w:rsidRDefault="00EF5DC4" w:rsidP="00EF5DC4">
            <w:pPr>
              <w:pStyle w:val="rvps14"/>
              <w:rPr>
                <w:rStyle w:val="spanrvts0"/>
                <w:lang w:val="uk" w:eastAsia="uk"/>
              </w:rPr>
            </w:pPr>
            <w:hyperlink r:id="rId5" w:history="1"/>
            <w:r w:rsidRPr="005B58F4">
              <w:rPr>
                <w:lang w:val="ru-RU"/>
              </w:rPr>
              <w:t xml:space="preserve"> </w:t>
            </w:r>
            <w:r w:rsidR="00B42780">
              <w:rPr>
                <w:b/>
              </w:rPr>
              <w:t>X</w:t>
            </w:r>
            <w:r w:rsidRPr="005B58F4">
              <w:rPr>
                <w:lang w:val="ru-RU"/>
              </w:rPr>
              <w:t xml:space="preserve">  </w:t>
            </w:r>
            <w:r w:rsidRPr="00471C91">
              <w:rPr>
                <w:rStyle w:val="spanrvts0"/>
                <w:lang w:val="uk" w:eastAsia="uk"/>
              </w:rPr>
              <w:br/>
            </w:r>
            <w:hyperlink r:id="rId6" w:history="1"/>
            <w:r w:rsidRPr="005B58F4">
              <w:rPr>
                <w:lang w:val="ru-RU"/>
              </w:rPr>
              <w:t xml:space="preserve"> </w:t>
            </w:r>
            <w:r w:rsidR="00B42780">
              <w:rPr>
                <w:b/>
              </w:rPr>
              <w:t xml:space="preserve"> </w:t>
            </w:r>
            <w:r w:rsidRPr="005B58F4">
              <w:rPr>
                <w:lang w:val="ru-RU"/>
              </w:rPr>
              <w:t xml:space="preserve">  </w:t>
            </w:r>
          </w:p>
        </w:tc>
        <w:tc>
          <w:tcPr>
            <w:tcW w:w="2790" w:type="pct"/>
            <w:gridSpan w:val="2"/>
            <w:tcBorders>
              <w:top w:val="single" w:sz="6" w:space="0" w:color="000000"/>
              <w:bottom w:val="single" w:sz="6" w:space="0" w:color="000000"/>
              <w:right w:val="single" w:sz="6" w:space="0" w:color="000000"/>
            </w:tcBorders>
          </w:tcPr>
          <w:p w14:paraId="1153BB37" w14:textId="77777777" w:rsidR="00EF5DC4" w:rsidRDefault="00EF5DC4" w:rsidP="00EF5DC4">
            <w:pPr>
              <w:pStyle w:val="rvps14"/>
              <w:rPr>
                <w:rStyle w:val="spanrvts0"/>
                <w:lang w:val="uk" w:eastAsia="uk"/>
              </w:rPr>
            </w:pPr>
            <w:r w:rsidRPr="00471C91">
              <w:rPr>
                <w:rStyle w:val="spanrvts0"/>
                <w:lang w:val="uk" w:eastAsia="uk"/>
              </w:rPr>
              <w:t>Емітент</w:t>
            </w:r>
          </w:p>
          <w:p w14:paraId="5441E387" w14:textId="77777777" w:rsidR="00EF5DC4" w:rsidRPr="00471C91" w:rsidRDefault="00EF5DC4" w:rsidP="00EF5DC4">
            <w:pPr>
              <w:pStyle w:val="rvps14"/>
              <w:rPr>
                <w:rStyle w:val="spanrvts0"/>
                <w:lang w:val="uk" w:eastAsia="uk"/>
              </w:rPr>
            </w:pPr>
            <w:r w:rsidRPr="00471C91">
              <w:rPr>
                <w:rStyle w:val="spanrvts0"/>
                <w:lang w:val="uk" w:eastAsia="uk"/>
              </w:rPr>
              <w:t>Особа, яка надає забезпечення</w:t>
            </w:r>
          </w:p>
        </w:tc>
      </w:tr>
      <w:tr w:rsidR="00EF5DC4" w:rsidRPr="00471C91" w14:paraId="17813F35" w14:textId="77777777" w:rsidTr="00A81335">
        <w:trPr>
          <w:trHeight w:val="1431"/>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09D61F42" w14:textId="77777777" w:rsidR="00EF5DC4" w:rsidRPr="0005596A" w:rsidRDefault="00EF5DC4" w:rsidP="00471C91">
            <w:pPr>
              <w:pStyle w:val="rvps14"/>
              <w:spacing w:before="150" w:after="150"/>
              <w:rPr>
                <w:rStyle w:val="spanrvts0"/>
                <w:b/>
                <w:lang w:val="uk" w:eastAsia="uk"/>
              </w:rPr>
            </w:pPr>
            <w:r w:rsidRPr="0005596A">
              <w:rPr>
                <w:rStyle w:val="spanrvts0"/>
                <w:b/>
                <w:lang w:val="uk" w:eastAsia="uk"/>
              </w:rPr>
              <w:t xml:space="preserve">Вид регульованої інформації </w:t>
            </w:r>
          </w:p>
        </w:tc>
        <w:tc>
          <w:tcPr>
            <w:tcW w:w="241" w:type="pct"/>
            <w:gridSpan w:val="2"/>
            <w:tcBorders>
              <w:top w:val="single" w:sz="6" w:space="0" w:color="000000"/>
              <w:left w:val="single" w:sz="6" w:space="0" w:color="000000"/>
              <w:bottom w:val="single" w:sz="6" w:space="0" w:color="000000"/>
            </w:tcBorders>
            <w:tcMar>
              <w:top w:w="22" w:type="dxa"/>
              <w:left w:w="57" w:type="dxa"/>
              <w:bottom w:w="22" w:type="dxa"/>
              <w:right w:w="22" w:type="dxa"/>
            </w:tcMar>
            <w:hideMark/>
          </w:tcPr>
          <w:p w14:paraId="7679DE58" w14:textId="730D0832" w:rsidR="00EF5DC4" w:rsidRPr="005069C8" w:rsidRDefault="00EF5DC4" w:rsidP="00EF5DC4">
            <w:pPr>
              <w:pStyle w:val="rvps14"/>
              <w:rPr>
                <w:rStyle w:val="spanrvts0"/>
                <w:lang w:val="uk" w:eastAsia="uk"/>
              </w:rPr>
            </w:pPr>
            <w:r w:rsidRPr="00C97738">
              <w:rPr>
                <w:lang w:val="uk"/>
              </w:rPr>
              <w:t xml:space="preserve"> </w:t>
            </w:r>
            <w:r w:rsidR="00B42780">
              <w:rPr>
                <w:b/>
              </w:rPr>
              <w:t>X</w:t>
            </w:r>
            <w:r w:rsidRPr="00C97738">
              <w:rPr>
                <w:lang w:val="uk"/>
              </w:rPr>
              <w:t xml:space="preserve">  </w:t>
            </w:r>
            <w:r w:rsidRPr="00471C91">
              <w:rPr>
                <w:rStyle w:val="spanrvts0"/>
                <w:lang w:val="uk" w:eastAsia="uk"/>
              </w:rPr>
              <w:br/>
            </w:r>
            <w:hyperlink r:id="rId7" w:history="1"/>
            <w:r w:rsidRPr="00C97738">
              <w:rPr>
                <w:lang w:val="uk"/>
              </w:rPr>
              <w:t xml:space="preserve"> </w:t>
            </w:r>
            <w:r w:rsidR="00B42780">
              <w:rPr>
                <w:b/>
              </w:rPr>
              <w:t xml:space="preserve"> </w:t>
            </w:r>
            <w:r w:rsidRPr="00C97738">
              <w:rPr>
                <w:lang w:val="uk"/>
              </w:rPr>
              <w:t xml:space="preserve">  </w:t>
            </w:r>
            <w:r w:rsidRPr="00471C91">
              <w:rPr>
                <w:rStyle w:val="spanrvts0"/>
                <w:lang w:val="uk" w:eastAsia="uk"/>
              </w:rPr>
              <w:br/>
            </w:r>
            <w:hyperlink r:id="rId8" w:history="1"/>
            <w:r w:rsidRPr="00C97738">
              <w:rPr>
                <w:lang w:val="uk"/>
              </w:rPr>
              <w:t xml:space="preserve"> </w:t>
            </w:r>
            <w:r w:rsidRPr="00C97738">
              <w:rPr>
                <w:b/>
                <w:lang w:val="uk"/>
              </w:rPr>
              <w:t xml:space="preserve">    </w:t>
            </w:r>
            <w:r w:rsidRPr="00C97738">
              <w:rPr>
                <w:lang w:val="uk"/>
              </w:rPr>
              <w:t xml:space="preserve">  </w:t>
            </w:r>
            <w:r w:rsidRPr="00471C91">
              <w:rPr>
                <w:rStyle w:val="spanrvts0"/>
                <w:lang w:val="uk" w:eastAsia="uk"/>
              </w:rPr>
              <w:br/>
            </w:r>
            <w:r w:rsidRPr="00C97738">
              <w:rPr>
                <w:lang w:val="uk"/>
              </w:rPr>
              <w:t xml:space="preserve"> </w:t>
            </w:r>
            <w:r w:rsidRPr="00C97738">
              <w:rPr>
                <w:b/>
                <w:lang w:val="uk"/>
              </w:rPr>
              <w:t xml:space="preserve">    </w:t>
            </w:r>
            <w:r>
              <w:rPr>
                <w:lang w:val="uk"/>
              </w:rPr>
              <w:t xml:space="preserve">  </w:t>
            </w:r>
            <w:r w:rsidRPr="00471C91">
              <w:rPr>
                <w:rStyle w:val="spanrvts0"/>
                <w:lang w:val="uk" w:eastAsia="uk"/>
              </w:rPr>
              <w:br/>
            </w:r>
            <w:hyperlink r:id="rId9" w:history="1"/>
            <w:r w:rsidRPr="00C97738">
              <w:rPr>
                <w:lang w:val="uk"/>
              </w:rPr>
              <w:t xml:space="preserve"> </w:t>
            </w:r>
            <w:r w:rsidR="00B42780">
              <w:rPr>
                <w:b/>
              </w:rPr>
              <w:t xml:space="preserve"> </w:t>
            </w:r>
            <w:r w:rsidRPr="00C97738">
              <w:rPr>
                <w:lang w:val="uk"/>
              </w:rPr>
              <w:t xml:space="preserve">  </w:t>
            </w:r>
          </w:p>
        </w:tc>
        <w:tc>
          <w:tcPr>
            <w:tcW w:w="2784" w:type="pct"/>
            <w:tcBorders>
              <w:top w:val="single" w:sz="6" w:space="0" w:color="000000"/>
              <w:bottom w:val="single" w:sz="6" w:space="0" w:color="000000"/>
              <w:right w:val="single" w:sz="6" w:space="0" w:color="000000"/>
            </w:tcBorders>
          </w:tcPr>
          <w:p w14:paraId="63B3DBB7" w14:textId="77777777" w:rsidR="00B42780" w:rsidRDefault="00EF5DC4" w:rsidP="003A01DC">
            <w:pPr>
              <w:pStyle w:val="rvps14"/>
              <w:rPr>
                <w:rStyle w:val="spanrvts0"/>
                <w:u w:val="single"/>
                <w:lang w:eastAsia="uk"/>
              </w:rPr>
            </w:pPr>
            <w:r>
              <w:rPr>
                <w:rStyle w:val="spanrvts0"/>
                <w:lang w:val="uk" w:eastAsia="uk"/>
              </w:rPr>
              <w:t>Регулярна інформація:</w:t>
            </w:r>
            <w:r w:rsidRPr="005069C8">
              <w:rPr>
                <w:rStyle w:val="spanrvts0"/>
                <w:lang w:val="uk" w:eastAsia="uk"/>
              </w:rPr>
              <w:t xml:space="preserve"> </w:t>
            </w:r>
          </w:p>
          <w:p w14:paraId="3C53DF17" w14:textId="0600F7F1" w:rsidR="00EF5DC4" w:rsidRDefault="00B42780" w:rsidP="003A01DC">
            <w:pPr>
              <w:pStyle w:val="rvps14"/>
              <w:rPr>
                <w:rStyle w:val="spanrvts0"/>
                <w:lang w:val="uk" w:eastAsia="uk"/>
              </w:rPr>
            </w:pPr>
            <w:r>
              <w:rPr>
                <w:rStyle w:val="spanrvts0"/>
                <w:u w:val="single"/>
                <w:lang w:eastAsia="uk"/>
              </w:rPr>
              <w:t>2024 рік</w:t>
            </w:r>
          </w:p>
          <w:p w14:paraId="78A2386A" w14:textId="6F3AADBE" w:rsidR="00EF5DC4" w:rsidRDefault="00EF5DC4" w:rsidP="003A01DC">
            <w:pPr>
              <w:pStyle w:val="rvps14"/>
              <w:rPr>
                <w:rStyle w:val="spanrvts0"/>
                <w:lang w:val="uk" w:eastAsia="uk"/>
              </w:rPr>
            </w:pPr>
            <w:r w:rsidRPr="00471C91">
              <w:rPr>
                <w:rStyle w:val="spanrvts0"/>
                <w:lang w:val="uk" w:eastAsia="uk"/>
              </w:rPr>
              <w:t xml:space="preserve">Особлива інформація: </w:t>
            </w:r>
            <w:r w:rsidR="00B42780">
              <w:rPr>
                <w:rStyle w:val="spanrvts0"/>
                <w:u w:val="single"/>
                <w:lang w:eastAsia="uk"/>
              </w:rPr>
              <w:t xml:space="preserve"> </w:t>
            </w:r>
          </w:p>
          <w:p w14:paraId="025B2A28" w14:textId="77777777" w:rsidR="00EF5DC4" w:rsidRDefault="00EF5DC4" w:rsidP="003A01DC">
            <w:pPr>
              <w:pStyle w:val="rvps14"/>
              <w:rPr>
                <w:rStyle w:val="spanrvts0"/>
                <w:lang w:val="uk" w:eastAsia="uk"/>
              </w:rPr>
            </w:pPr>
            <w:r w:rsidRPr="00471C91">
              <w:rPr>
                <w:rStyle w:val="spanrvts0"/>
                <w:lang w:val="uk" w:eastAsia="uk"/>
              </w:rPr>
              <w:t>Особлива інформація</w:t>
            </w:r>
            <w:r>
              <w:rPr>
                <w:rStyle w:val="spanrvts0"/>
                <w:lang w:val="uk" w:eastAsia="uk"/>
              </w:rPr>
              <w:t xml:space="preserve"> емітентів іпотечних облігацій:</w:t>
            </w:r>
          </w:p>
          <w:p w14:paraId="7E6CE684" w14:textId="77777777" w:rsidR="00EF5DC4" w:rsidRDefault="00EF5DC4" w:rsidP="003A01DC">
            <w:pPr>
              <w:pStyle w:val="rvps14"/>
              <w:rPr>
                <w:rStyle w:val="spanrvts0"/>
                <w:lang w:val="uk" w:eastAsia="uk"/>
              </w:rPr>
            </w:pPr>
            <w:r w:rsidRPr="00471C91">
              <w:rPr>
                <w:rStyle w:val="spanrvts0"/>
                <w:lang w:val="uk" w:eastAsia="uk"/>
              </w:rPr>
              <w:t>Особлива інформа</w:t>
            </w:r>
            <w:r>
              <w:rPr>
                <w:rStyle w:val="spanrvts0"/>
                <w:lang w:val="uk" w:eastAsia="uk"/>
              </w:rPr>
              <w:t>ція емітентів сертифікатів ФОН:</w:t>
            </w:r>
          </w:p>
          <w:p w14:paraId="32D459AE" w14:textId="565E0110" w:rsidR="00EF5DC4" w:rsidRPr="005069C8" w:rsidRDefault="00EF5DC4" w:rsidP="00EF5DC4">
            <w:pPr>
              <w:pStyle w:val="rvps14"/>
              <w:rPr>
                <w:rStyle w:val="spanrvts0"/>
                <w:lang w:val="uk" w:eastAsia="uk"/>
              </w:rPr>
            </w:pPr>
            <w:r w:rsidRPr="00471C91">
              <w:rPr>
                <w:rStyle w:val="spanrvts0"/>
                <w:lang w:val="uk" w:eastAsia="uk"/>
              </w:rPr>
              <w:t xml:space="preserve">Інша інформація: </w:t>
            </w:r>
            <w:r w:rsidR="00B42780">
              <w:rPr>
                <w:rStyle w:val="spanrvts0"/>
                <w:u w:val="single"/>
                <w:lang w:eastAsia="uk"/>
              </w:rPr>
              <w:t xml:space="preserve"> </w:t>
            </w:r>
          </w:p>
        </w:tc>
      </w:tr>
      <w:tr w:rsidR="002225D2" w:rsidRPr="00471C91" w14:paraId="56B0C626"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5462834F" w14:textId="77777777" w:rsidR="002225D2" w:rsidRPr="002225D2" w:rsidRDefault="002225D2" w:rsidP="0028481C">
            <w:pPr>
              <w:pStyle w:val="rvps14"/>
              <w:rPr>
                <w:rStyle w:val="spanrvts0"/>
                <w:b/>
                <w:lang w:val="uk" w:eastAsia="uk"/>
              </w:rPr>
            </w:pPr>
            <w:r w:rsidRPr="002225D2">
              <w:rPr>
                <w:rStyle w:val="spanrvts0"/>
                <w:b/>
                <w:lang w:val="uk" w:eastAsia="uk"/>
              </w:rPr>
              <w:t>Опис змін, які було внесено до недостовірної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62544A3C" w14:textId="69646ED8" w:rsidR="002225D2" w:rsidRPr="0028481C" w:rsidRDefault="00B42780" w:rsidP="0028481C">
            <w:pPr>
              <w:pStyle w:val="rvps14"/>
              <w:rPr>
                <w:rStyle w:val="spanrvts0"/>
                <w:lang w:val="uk" w:eastAsia="uk"/>
              </w:rPr>
            </w:pPr>
            <w:r>
              <w:rPr>
                <w:color w:val="000000"/>
                <w:szCs w:val="20"/>
              </w:rPr>
              <w:t>Главу 2 розділу ІІІ річного звіту емітента за 2024 рік доповнено інформацією стосовно розкриття річної фінансової звітності на основі таксономії фінансової звітності за міжнародними стандартами фінансової звітності в єдиному електронному форматі (формат XBRL) на порталі СФЗ, наведено посилання на URL-адресу, за якою розміщена така звітність</w:t>
            </w:r>
          </w:p>
        </w:tc>
      </w:tr>
      <w:tr w:rsidR="002225D2" w:rsidRPr="00471C91" w14:paraId="64C985A5"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56AE7E4A" w14:textId="77777777" w:rsidR="002225D2" w:rsidRPr="002225D2" w:rsidRDefault="002225D2" w:rsidP="0028481C">
            <w:pPr>
              <w:pStyle w:val="rvps14"/>
              <w:rPr>
                <w:rStyle w:val="spanrvts0"/>
                <w:b/>
                <w:lang w:val="uk" w:eastAsia="uk"/>
              </w:rPr>
            </w:pPr>
            <w:r w:rsidRPr="002225D2">
              <w:rPr>
                <w:rStyle w:val="spanrvts0"/>
                <w:b/>
                <w:lang w:val="uk" w:eastAsia="uk"/>
              </w:rPr>
              <w:t xml:space="preserve">Дата розкриття недостовірної інформації </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7F2FB897" w14:textId="6DA19E4E" w:rsidR="002225D2" w:rsidRPr="00471C91" w:rsidRDefault="00B42780" w:rsidP="0028481C">
            <w:pPr>
              <w:pStyle w:val="rvps14"/>
              <w:rPr>
                <w:rStyle w:val="spanrvts0"/>
                <w:lang w:val="uk" w:eastAsia="uk"/>
              </w:rPr>
            </w:pPr>
            <w:r>
              <w:rPr>
                <w:rStyle w:val="spanrvts0"/>
                <w:lang w:eastAsia="uk"/>
              </w:rPr>
              <w:t>10.09.2025</w:t>
            </w:r>
          </w:p>
        </w:tc>
      </w:tr>
      <w:tr w:rsidR="002225D2" w:rsidRPr="00471C91" w14:paraId="48685CD9"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2218F079" w14:textId="77777777" w:rsidR="002225D2" w:rsidRPr="002225D2" w:rsidRDefault="002225D2" w:rsidP="0028481C">
            <w:pPr>
              <w:pStyle w:val="rvps14"/>
              <w:rPr>
                <w:rStyle w:val="spanrvts0"/>
                <w:b/>
                <w:lang w:val="uk" w:eastAsia="uk"/>
              </w:rPr>
            </w:pPr>
            <w:r w:rsidRPr="002225D2">
              <w:rPr>
                <w:rStyle w:val="spanrvts0"/>
                <w:b/>
                <w:lang w:val="uk" w:eastAsia="uk"/>
              </w:rPr>
              <w:t>Обґрунтування причин розкриття недостовірної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6F892373" w14:textId="77777777" w:rsidR="00B42780" w:rsidRDefault="00B42780" w:rsidP="0028481C">
            <w:pPr>
              <w:pStyle w:val="rvps14"/>
              <w:rPr>
                <w:rStyle w:val="spanrvts0"/>
                <w:lang w:eastAsia="uk"/>
              </w:rPr>
            </w:pPr>
            <w:r>
              <w:rPr>
                <w:rStyle w:val="spanrvts0"/>
                <w:lang w:eastAsia="uk"/>
              </w:rPr>
              <w:t>Річний звіт емітента за 2024 рік розкритий 10.09.2025 року.</w:t>
            </w:r>
          </w:p>
          <w:p w14:paraId="4861791F" w14:textId="77777777" w:rsidR="00B42780" w:rsidRDefault="00B42780" w:rsidP="0028481C">
            <w:pPr>
              <w:pStyle w:val="rvps14"/>
              <w:rPr>
                <w:rStyle w:val="spanrvts0"/>
                <w:lang w:eastAsia="uk"/>
              </w:rPr>
            </w:pPr>
            <w:r>
              <w:rPr>
                <w:rStyle w:val="spanrvts0"/>
                <w:lang w:eastAsia="uk"/>
              </w:rPr>
              <w:t>Національна комісія з цінних паперів та фондового ринку оголосила про готовність до експлуатації технічних складових Центру збору фінансової звітності «Система фінансової звітності» (далі – ЦЗФЗ) та його функціональних компонентів, які призначені для приймання фінансової звітності за 2024 рік, складеної на основі Таксономії UA МСФЗ XBRL 2024, 18.09.2025 року, тобто пізніше за дату розкриття емітентом річного звіту емітента за 2024 рік. До цього технічної можливості розкрити річну фінансову звітність за 2024 рік, складену на основі таксономії фінансової звітності в єдиному електронному форматі, не було.</w:t>
            </w:r>
          </w:p>
          <w:p w14:paraId="31CE0A28" w14:textId="4CFD4FBA" w:rsidR="002225D2" w:rsidRPr="00471C91" w:rsidRDefault="00B42780" w:rsidP="0028481C">
            <w:pPr>
              <w:pStyle w:val="rvps14"/>
              <w:rPr>
                <w:rStyle w:val="spanrvts0"/>
                <w:lang w:val="uk" w:eastAsia="uk"/>
              </w:rPr>
            </w:pPr>
            <w:r>
              <w:rPr>
                <w:rStyle w:val="spanrvts0"/>
                <w:lang w:eastAsia="uk"/>
              </w:rPr>
              <w:t>Тому після того, як з'явилася така можливість, еміт</w:t>
            </w:r>
            <w:r w:rsidR="005D1104">
              <w:rPr>
                <w:rStyle w:val="spanrvts0"/>
                <w:lang w:val="uk-UA" w:eastAsia="uk"/>
              </w:rPr>
              <w:t>е</w:t>
            </w:r>
            <w:r>
              <w:rPr>
                <w:rStyle w:val="spanrvts0"/>
                <w:lang w:eastAsia="uk"/>
              </w:rPr>
              <w:t>нтом було завершено підготовку  та здійснено оприлюднення річної фінансової звітності за 2024 рік, складену на основі таксономії фінансової звітності в єдиному електронному форматі, на порталі СФЗ https://portal.frs.gov.ua/PublicData/PublicDataSearch.aspx.</w:t>
            </w:r>
          </w:p>
        </w:tc>
      </w:tr>
      <w:tr w:rsidR="002225D2" w:rsidRPr="00471C91" w14:paraId="1CAB6791"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66BED323" w14:textId="77777777" w:rsidR="002225D2" w:rsidRPr="002225D2" w:rsidRDefault="002225D2" w:rsidP="0028481C">
            <w:pPr>
              <w:pStyle w:val="rvps14"/>
              <w:rPr>
                <w:rStyle w:val="spanrvts0"/>
                <w:b/>
                <w:lang w:val="uk" w:eastAsia="uk"/>
              </w:rPr>
            </w:pPr>
            <w:r w:rsidRPr="002225D2">
              <w:rPr>
                <w:rStyle w:val="spanrvts0"/>
                <w:b/>
                <w:lang w:val="uk" w:eastAsia="uk"/>
              </w:rPr>
              <w:t xml:space="preserve">Дата розкриття оновленої інформації з виправленням </w:t>
            </w:r>
            <w:r w:rsidRPr="002225D2">
              <w:rPr>
                <w:rStyle w:val="spanrvts0"/>
                <w:b/>
                <w:lang w:val="uk" w:eastAsia="uk"/>
              </w:rPr>
              <w:lastRenderedPageBreak/>
              <w:t>інформації, яка була недостовірною</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41B6CB8B" w14:textId="1B56025C" w:rsidR="002225D2" w:rsidRPr="00471C91" w:rsidRDefault="00B42780" w:rsidP="0028481C">
            <w:pPr>
              <w:pStyle w:val="rvps14"/>
              <w:rPr>
                <w:rStyle w:val="spanrvts0"/>
                <w:lang w:val="uk" w:eastAsia="uk"/>
              </w:rPr>
            </w:pPr>
            <w:r>
              <w:rPr>
                <w:rStyle w:val="spanrvts0"/>
                <w:lang w:eastAsia="uk"/>
              </w:rPr>
              <w:lastRenderedPageBreak/>
              <w:t>27.10.2025</w:t>
            </w:r>
          </w:p>
        </w:tc>
      </w:tr>
      <w:tr w:rsidR="002225D2" w:rsidRPr="00471C91" w14:paraId="7ADF6EAA"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76B0F7DE" w14:textId="77777777" w:rsidR="002225D2" w:rsidRPr="002225D2" w:rsidRDefault="002225D2" w:rsidP="0028481C">
            <w:pPr>
              <w:pStyle w:val="rvps14"/>
              <w:rPr>
                <w:rStyle w:val="spanrvts0"/>
                <w:b/>
                <w:lang w:val="uk" w:eastAsia="uk"/>
              </w:rPr>
            </w:pPr>
            <w:r w:rsidRPr="002225D2">
              <w:rPr>
                <w:rStyle w:val="spanrvts0"/>
                <w:b/>
                <w:lang w:val="uk" w:eastAsia="uk"/>
              </w:rPr>
              <w:t>URL-адреса з файлом, який містить недостовірну інформацію та відповідну помітку про її недостовірність</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7E2209D0" w14:textId="585A0EA7" w:rsidR="002225D2" w:rsidRPr="00471C91" w:rsidRDefault="00B42780" w:rsidP="0028481C">
            <w:pPr>
              <w:pStyle w:val="rvps14"/>
              <w:rPr>
                <w:rStyle w:val="spanrvts0"/>
                <w:lang w:val="uk" w:eastAsia="uk"/>
              </w:rPr>
            </w:pPr>
            <w:r>
              <w:rPr>
                <w:rStyle w:val="spanrvts0"/>
                <w:lang w:eastAsia="uk"/>
              </w:rPr>
              <w:t>https://a-finance.in.ua/publichna-informatsiia/</w:t>
            </w:r>
          </w:p>
        </w:tc>
      </w:tr>
      <w:tr w:rsidR="002225D2" w:rsidRPr="00471C91" w14:paraId="00201384" w14:textId="77777777" w:rsidTr="00A81335">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tcPr>
          <w:p w14:paraId="68A56492" w14:textId="77777777" w:rsidR="002225D2" w:rsidRPr="002225D2" w:rsidRDefault="002225D2" w:rsidP="0028481C">
            <w:pPr>
              <w:pStyle w:val="rvps14"/>
              <w:rPr>
                <w:rStyle w:val="spanrvts0"/>
                <w:b/>
                <w:lang w:val="uk" w:eastAsia="uk"/>
              </w:rPr>
            </w:pPr>
            <w:r w:rsidRPr="002225D2">
              <w:rPr>
                <w:rStyle w:val="spanrvts0"/>
                <w:b/>
                <w:lang w:val="uk" w:eastAsia="uk"/>
              </w:rPr>
              <w:t>URL-адреса з файлом, який містить виправлену інформацію</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tcPr>
          <w:p w14:paraId="2C1015C6" w14:textId="6780849E" w:rsidR="002225D2" w:rsidRPr="00471C91" w:rsidRDefault="00B42780" w:rsidP="0028481C">
            <w:pPr>
              <w:pStyle w:val="rvps14"/>
              <w:rPr>
                <w:rStyle w:val="spanrvts0"/>
                <w:lang w:val="uk" w:eastAsia="uk"/>
              </w:rPr>
            </w:pPr>
            <w:r>
              <w:rPr>
                <w:rStyle w:val="spanrvts0"/>
                <w:lang w:eastAsia="uk"/>
              </w:rPr>
              <w:t>https://a-finance.in.ua/publichna-informatsiia/</w:t>
            </w:r>
          </w:p>
        </w:tc>
      </w:tr>
    </w:tbl>
    <w:p w14:paraId="69996679" w14:textId="77777777" w:rsidR="001F75B4" w:rsidRPr="00471C91" w:rsidRDefault="001F75B4">
      <w:pPr>
        <w:rPr>
          <w:lang w:val="ru-RU"/>
        </w:rPr>
      </w:pPr>
    </w:p>
    <w:sectPr w:rsidR="001F75B4" w:rsidRPr="00471C91" w:rsidSect="00B4278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80"/>
    <w:rsid w:val="0005596A"/>
    <w:rsid w:val="000C77DA"/>
    <w:rsid w:val="001F75B4"/>
    <w:rsid w:val="002225D2"/>
    <w:rsid w:val="0028481C"/>
    <w:rsid w:val="003A01DC"/>
    <w:rsid w:val="00471C91"/>
    <w:rsid w:val="005069C8"/>
    <w:rsid w:val="005B58F4"/>
    <w:rsid w:val="005D1104"/>
    <w:rsid w:val="005E464B"/>
    <w:rsid w:val="00A81335"/>
    <w:rsid w:val="00AC525F"/>
    <w:rsid w:val="00B42780"/>
    <w:rsid w:val="00C97738"/>
    <w:rsid w:val="00CC5AE1"/>
    <w:rsid w:val="00E97C8E"/>
    <w:rsid w:val="00EF5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C56F"/>
  <w15:chartTrackingRefBased/>
  <w15:docId w15:val="{056C2CA2-9C22-4585-AEBC-C1EB339D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C91"/>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471C91"/>
    <w:rPr>
      <w:rFonts w:ascii="Times New Roman" w:eastAsia="Times New Roman" w:hAnsi="Times New Roman" w:cs="Times New Roman"/>
      <w:b w:val="0"/>
      <w:bCs w:val="0"/>
      <w:i w:val="0"/>
      <w:iCs w:val="0"/>
      <w:sz w:val="24"/>
      <w:szCs w:val="24"/>
    </w:rPr>
  </w:style>
  <w:style w:type="paragraph" w:customStyle="1" w:styleId="rvps14">
    <w:name w:val="rvps14"/>
    <w:basedOn w:val="a"/>
    <w:rsid w:val="00471C91"/>
  </w:style>
  <w:style w:type="character" w:customStyle="1" w:styleId="spanrvts15">
    <w:name w:val="span_rvts15"/>
    <w:rsid w:val="00471C91"/>
    <w:rPr>
      <w:rFonts w:ascii="Times New Roman" w:eastAsia="Times New Roman" w:hAnsi="Times New Roman" w:cs="Times New Roman"/>
      <w:b/>
      <w:bCs/>
      <w:i w:val="0"/>
      <w:iCs w:val="0"/>
      <w:sz w:val="28"/>
      <w:szCs w:val="28"/>
    </w:rPr>
  </w:style>
  <w:style w:type="paragraph" w:customStyle="1" w:styleId="rvps7">
    <w:name w:val="rvps7"/>
    <w:basedOn w:val="a"/>
    <w:rsid w:val="00471C91"/>
    <w:pPr>
      <w:jc w:val="center"/>
    </w:pPr>
  </w:style>
  <w:style w:type="table" w:customStyle="1" w:styleId="articletable">
    <w:name w:val="article_table"/>
    <w:basedOn w:val="a1"/>
    <w:rsid w:val="00471C91"/>
    <w:rPr>
      <w:rFonts w:ascii="Times New Roman" w:eastAsia="Times New Roman" w:hAnsi="Times New Roman"/>
      <w:lang w:val="en-US"/>
    </w:rPr>
    <w:tblPr/>
  </w:style>
  <w:style w:type="character" w:customStyle="1" w:styleId="arvts99">
    <w:name w:val="a_rvts99"/>
    <w:rsid w:val="00471C91"/>
    <w:rPr>
      <w:rFonts w:ascii="Times New Roman" w:eastAsia="Times New Roman" w:hAnsi="Times New Roman" w:cs="Times New Roman"/>
      <w:b w:val="0"/>
      <w:bCs w:val="0"/>
      <w:i w:val="0"/>
      <w:iCs w:val="0"/>
      <w:color w:val="006600"/>
      <w:sz w:val="24"/>
      <w:szCs w:val="24"/>
    </w:rPr>
  </w:style>
  <w:style w:type="paragraph" w:customStyle="1" w:styleId="break">
    <w:name w:val="break"/>
    <w:basedOn w:val="a"/>
    <w:rsid w:val="00471C91"/>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file/imgs/109/p529494n741-8.emf" TargetMode="External"/><Relationship Id="rId3" Type="http://schemas.openxmlformats.org/officeDocument/2006/relationships/settings" Target="settings.xml"/><Relationship Id="rId7" Type="http://schemas.openxmlformats.org/officeDocument/2006/relationships/hyperlink" Target="https://zakon.rada.gov.ua/laws/file/imgs/109/p529494n741-5.em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file/imgs/109/p529494n741-3.emf" TargetMode="External"/><Relationship Id="rId11" Type="http://schemas.openxmlformats.org/officeDocument/2006/relationships/theme" Target="theme/theme1.xml"/><Relationship Id="rId5" Type="http://schemas.openxmlformats.org/officeDocument/2006/relationships/hyperlink" Target="https://zakon.rada.gov.ua/laws/file/imgs/109/p529494n741-2.em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file/imgs/109/p529494n741-10.em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inf_ndt.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4DBD-D47D-4FDE-98CB-BE1934F5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inf_ndt</Template>
  <TotalTime>1</TotalTime>
  <Pages>2</Pages>
  <Words>1885</Words>
  <Characters>1076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Links>
    <vt:vector size="30" baseType="variant">
      <vt:variant>
        <vt:i4>7143478</vt:i4>
      </vt:variant>
      <vt:variant>
        <vt:i4>12</vt:i4>
      </vt:variant>
      <vt:variant>
        <vt:i4>0</vt:i4>
      </vt:variant>
      <vt:variant>
        <vt:i4>5</vt:i4>
      </vt:variant>
      <vt:variant>
        <vt:lpwstr>https://zakon.rada.gov.ua/laws/file/imgs/109/p529494n741-10.emf</vt:lpwstr>
      </vt:variant>
      <vt:variant>
        <vt:lpwstr/>
      </vt:variant>
      <vt:variant>
        <vt:i4>2359328</vt:i4>
      </vt:variant>
      <vt:variant>
        <vt:i4>9</vt:i4>
      </vt:variant>
      <vt:variant>
        <vt:i4>0</vt:i4>
      </vt:variant>
      <vt:variant>
        <vt:i4>5</vt:i4>
      </vt:variant>
      <vt:variant>
        <vt:lpwstr>https://zakon.rada.gov.ua/laws/file/imgs/109/p529494n741-8.emf</vt:lpwstr>
      </vt:variant>
      <vt:variant>
        <vt:lpwstr/>
      </vt:variant>
      <vt:variant>
        <vt:i4>2687008</vt:i4>
      </vt:variant>
      <vt:variant>
        <vt:i4>6</vt:i4>
      </vt:variant>
      <vt:variant>
        <vt:i4>0</vt:i4>
      </vt:variant>
      <vt:variant>
        <vt:i4>5</vt:i4>
      </vt:variant>
      <vt:variant>
        <vt:lpwstr>https://zakon.rada.gov.ua/laws/file/imgs/109/p529494n741-5.emf</vt:lpwstr>
      </vt:variant>
      <vt:variant>
        <vt:lpwstr/>
      </vt:variant>
      <vt:variant>
        <vt:i4>3080224</vt:i4>
      </vt:variant>
      <vt:variant>
        <vt:i4>3</vt:i4>
      </vt:variant>
      <vt:variant>
        <vt:i4>0</vt:i4>
      </vt:variant>
      <vt:variant>
        <vt:i4>5</vt:i4>
      </vt:variant>
      <vt:variant>
        <vt:lpwstr>https://zakon.rada.gov.ua/laws/file/imgs/109/p529494n741-3.emf</vt:lpwstr>
      </vt:variant>
      <vt:variant>
        <vt:lpwstr/>
      </vt:variant>
      <vt:variant>
        <vt:i4>3014688</vt:i4>
      </vt:variant>
      <vt:variant>
        <vt:i4>0</vt:i4>
      </vt:variant>
      <vt:variant>
        <vt:i4>0</vt:i4>
      </vt:variant>
      <vt:variant>
        <vt:i4>5</vt:i4>
      </vt:variant>
      <vt:variant>
        <vt:lpwstr>https://zakon.rada.gov.ua/laws/file/imgs/109/p529494n741-2.emf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2</cp:revision>
  <dcterms:created xsi:type="dcterms:W3CDTF">2025-10-24T14:10:00Z</dcterms:created>
  <dcterms:modified xsi:type="dcterms:W3CDTF">2025-10-24T14:10:00Z</dcterms:modified>
</cp:coreProperties>
</file>